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BD58" w14:textId="77777777" w:rsidR="00BE68F1" w:rsidRPr="005D1AE7" w:rsidRDefault="00BE68F1" w:rsidP="00BE68F1">
      <w:pPr>
        <w:jc w:val="center"/>
        <w:rPr>
          <w:rFonts w:ascii="Aptos" w:hAnsi="Aptos" w:cs="Tahoma"/>
          <w:sz w:val="24"/>
          <w:szCs w:val="24"/>
        </w:rPr>
      </w:pPr>
      <w:r w:rsidRPr="005D1AE7">
        <w:rPr>
          <w:rFonts w:ascii="Aptos" w:hAnsi="Aptos"/>
          <w:noProof/>
          <w:sz w:val="24"/>
          <w:szCs w:val="24"/>
          <w:lang w:val="en-ZW" w:eastAsia="en-ZW"/>
        </w:rPr>
        <w:drawing>
          <wp:inline distT="0" distB="0" distL="0" distR="0" wp14:anchorId="73FF273E" wp14:editId="1E9167A4">
            <wp:extent cx="1524000" cy="1190625"/>
            <wp:effectExtent l="0" t="0" r="0" b="9525"/>
            <wp:docPr id="3" name="Picture 3" descr="zimflag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imflagfly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64" cy="119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FA086" w14:textId="77777777" w:rsidR="00BE68F1" w:rsidRPr="00DC5AF3" w:rsidRDefault="00BE68F1" w:rsidP="00BE68F1">
      <w:pPr>
        <w:jc w:val="center"/>
        <w:rPr>
          <w:rFonts w:ascii="Aptos" w:hAnsi="Aptos" w:cs="Tahoma"/>
          <w:b/>
          <w:sz w:val="20"/>
          <w:szCs w:val="20"/>
        </w:rPr>
      </w:pPr>
      <w:r w:rsidRPr="00DC5AF3">
        <w:rPr>
          <w:rFonts w:ascii="Aptos" w:hAnsi="Aptos" w:cs="Tahoma"/>
          <w:b/>
          <w:sz w:val="20"/>
          <w:szCs w:val="20"/>
        </w:rPr>
        <w:t>Government of Zimbabwe</w:t>
      </w:r>
    </w:p>
    <w:p w14:paraId="1ACE206E" w14:textId="77777777" w:rsidR="00BE68F1" w:rsidRPr="00DC5AF3" w:rsidRDefault="00BE68F1" w:rsidP="00872E30">
      <w:pPr>
        <w:shd w:val="clear" w:color="auto" w:fill="D9D9D9" w:themeFill="background1" w:themeFillShade="D9"/>
        <w:jc w:val="both"/>
        <w:rPr>
          <w:rFonts w:ascii="Aptos" w:hAnsi="Aptos" w:cstheme="minorHAnsi"/>
          <w:b/>
          <w:sz w:val="20"/>
          <w:szCs w:val="20"/>
        </w:rPr>
      </w:pPr>
      <w:r w:rsidRPr="00DC5AF3">
        <w:rPr>
          <w:rFonts w:ascii="Aptos" w:hAnsi="Aptos" w:cstheme="minorHAnsi"/>
          <w:b/>
          <w:sz w:val="20"/>
          <w:szCs w:val="20"/>
        </w:rPr>
        <w:t>Programme: Zimbabwe Side Event at the CSW70</w:t>
      </w:r>
      <w:r w:rsidRPr="00DC5AF3">
        <w:rPr>
          <w:rFonts w:ascii="Aptos" w:hAnsi="Aptos" w:cstheme="minorHAnsi"/>
          <w:b/>
          <w:sz w:val="20"/>
          <w:szCs w:val="20"/>
          <w:vertAlign w:val="superscript"/>
        </w:rPr>
        <w:t>th</w:t>
      </w:r>
      <w:r w:rsidRPr="00DC5AF3">
        <w:rPr>
          <w:rFonts w:ascii="Aptos" w:hAnsi="Aptos" w:cstheme="minorHAnsi"/>
          <w:b/>
          <w:sz w:val="20"/>
          <w:szCs w:val="20"/>
        </w:rPr>
        <w:t xml:space="preserve"> Session </w:t>
      </w:r>
    </w:p>
    <w:p w14:paraId="55BE31D9" w14:textId="7DA73780" w:rsidR="0072091D" w:rsidRDefault="00BE68F1" w:rsidP="00872E30">
      <w:pPr>
        <w:jc w:val="both"/>
        <w:rPr>
          <w:rFonts w:ascii="Aptos" w:hAnsi="Aptos" w:cstheme="minorHAnsi"/>
          <w:bCs/>
          <w:sz w:val="20"/>
          <w:szCs w:val="20"/>
        </w:rPr>
      </w:pPr>
      <w:r w:rsidRPr="00DC5AF3">
        <w:rPr>
          <w:rFonts w:ascii="Aptos" w:hAnsi="Aptos" w:cstheme="minorHAnsi"/>
          <w:bCs/>
          <w:sz w:val="20"/>
          <w:szCs w:val="20"/>
        </w:rPr>
        <w:t xml:space="preserve">Date: </w:t>
      </w:r>
      <w:r w:rsidR="00AF4176">
        <w:rPr>
          <w:rFonts w:ascii="Aptos" w:hAnsi="Aptos" w:cstheme="minorHAnsi"/>
          <w:bCs/>
          <w:sz w:val="20"/>
          <w:szCs w:val="20"/>
        </w:rPr>
        <w:t xml:space="preserve">11 </w:t>
      </w:r>
      <w:r w:rsidR="0090615A" w:rsidRPr="00DC5AF3">
        <w:rPr>
          <w:rFonts w:ascii="Aptos" w:hAnsi="Aptos" w:cstheme="minorHAnsi"/>
          <w:bCs/>
          <w:sz w:val="20"/>
          <w:szCs w:val="20"/>
        </w:rPr>
        <w:t>March 202</w:t>
      </w:r>
      <w:r w:rsidR="00625B7A">
        <w:rPr>
          <w:rFonts w:ascii="Aptos" w:hAnsi="Aptos" w:cstheme="minorHAnsi"/>
          <w:bCs/>
          <w:sz w:val="20"/>
          <w:szCs w:val="20"/>
        </w:rPr>
        <w:t>6</w:t>
      </w:r>
      <w:r w:rsidRPr="00DC5AF3">
        <w:rPr>
          <w:rFonts w:ascii="Aptos" w:hAnsi="Aptos" w:cstheme="minorHAnsi"/>
          <w:bCs/>
          <w:sz w:val="20"/>
          <w:szCs w:val="20"/>
        </w:rPr>
        <w:t xml:space="preserve">          </w:t>
      </w:r>
    </w:p>
    <w:p w14:paraId="70BED714" w14:textId="230B64CC" w:rsidR="00BE68F1" w:rsidRPr="00DC5AF3" w:rsidRDefault="00BE68F1" w:rsidP="00872E30">
      <w:pPr>
        <w:jc w:val="both"/>
        <w:rPr>
          <w:rFonts w:ascii="Aptos" w:hAnsi="Aptos" w:cstheme="minorHAnsi"/>
          <w:bCs/>
          <w:sz w:val="20"/>
          <w:szCs w:val="20"/>
        </w:rPr>
      </w:pPr>
      <w:r w:rsidRPr="00DC5AF3">
        <w:rPr>
          <w:rFonts w:ascii="Aptos" w:hAnsi="Aptos" w:cstheme="minorHAnsi"/>
          <w:bCs/>
          <w:sz w:val="20"/>
          <w:szCs w:val="20"/>
        </w:rPr>
        <w:t xml:space="preserve">Venue: </w:t>
      </w:r>
      <w:r w:rsidR="00AF4176">
        <w:rPr>
          <w:rFonts w:ascii="Aptos" w:hAnsi="Aptos" w:cstheme="minorHAnsi"/>
          <w:bCs/>
          <w:sz w:val="20"/>
          <w:szCs w:val="20"/>
        </w:rPr>
        <w:t>Conference Room D</w:t>
      </w:r>
    </w:p>
    <w:p w14:paraId="644E002B" w14:textId="77777777" w:rsidR="00BE68F1" w:rsidRPr="00DC5AF3" w:rsidRDefault="00BE68F1" w:rsidP="00872E30">
      <w:pPr>
        <w:jc w:val="both"/>
        <w:rPr>
          <w:rFonts w:ascii="Aptos" w:hAnsi="Aptos" w:cstheme="minorHAnsi"/>
          <w:bCs/>
          <w:sz w:val="20"/>
          <w:szCs w:val="20"/>
        </w:rPr>
      </w:pPr>
      <w:r w:rsidRPr="00DC5AF3">
        <w:rPr>
          <w:rFonts w:ascii="Aptos" w:hAnsi="Aptos" w:cstheme="minorHAnsi"/>
          <w:bCs/>
          <w:sz w:val="20"/>
          <w:szCs w:val="20"/>
        </w:rPr>
        <w:t>Time: 10:00- 11:15 am</w:t>
      </w:r>
    </w:p>
    <w:p w14:paraId="1876A438" w14:textId="04FF2A2D" w:rsidR="00872E30" w:rsidRPr="00DC5AF3" w:rsidRDefault="00BE68F1" w:rsidP="00872E30">
      <w:pPr>
        <w:jc w:val="both"/>
        <w:rPr>
          <w:rFonts w:ascii="Aptos" w:hAnsi="Aptos" w:cstheme="minorHAnsi"/>
          <w:b/>
          <w:bCs/>
          <w:i/>
          <w:iCs/>
          <w:sz w:val="20"/>
          <w:szCs w:val="20"/>
          <w:lang w:val="en-GB"/>
        </w:rPr>
      </w:pPr>
      <w:r w:rsidRPr="00DC5AF3">
        <w:rPr>
          <w:rFonts w:ascii="Aptos" w:hAnsi="Aptos" w:cstheme="minorHAnsi"/>
          <w:b/>
          <w:sz w:val="20"/>
          <w:szCs w:val="20"/>
        </w:rPr>
        <w:t xml:space="preserve">Moderator: </w:t>
      </w:r>
      <w:proofErr w:type="spellStart"/>
      <w:r w:rsidR="00872E30">
        <w:rPr>
          <w:rFonts w:ascii="Aptos" w:hAnsi="Aptos" w:cstheme="minorHAnsi"/>
          <w:b/>
          <w:sz w:val="20"/>
          <w:szCs w:val="20"/>
        </w:rPr>
        <w:t>Mrs</w:t>
      </w:r>
      <w:proofErr w:type="spellEnd"/>
      <w:r w:rsidR="00872E30">
        <w:rPr>
          <w:rFonts w:ascii="Aptos" w:hAnsi="Aptos" w:cstheme="minorHAnsi"/>
          <w:b/>
          <w:sz w:val="20"/>
          <w:szCs w:val="20"/>
        </w:rPr>
        <w:t xml:space="preserve"> V. Nyemba, </w:t>
      </w:r>
      <w:r w:rsidR="00872E30">
        <w:rPr>
          <w:rFonts w:ascii="Aptos" w:hAnsi="Aptos" w:cstheme="minorHAnsi"/>
          <w:sz w:val="20"/>
          <w:szCs w:val="20"/>
          <w:lang w:val="en-GB"/>
        </w:rPr>
        <w:t>Secretary of Justice, Legal and Parliamentary Affairs</w:t>
      </w:r>
    </w:p>
    <w:p w14:paraId="1F694CA9" w14:textId="1A86B4F7" w:rsidR="00BE68F1" w:rsidRPr="00DC5AF3" w:rsidRDefault="00BE68F1" w:rsidP="00872E30">
      <w:pPr>
        <w:jc w:val="both"/>
        <w:rPr>
          <w:rFonts w:ascii="Aptos" w:hAnsi="Aptos" w:cstheme="minorHAnsi"/>
          <w:b/>
          <w:sz w:val="20"/>
          <w:szCs w:val="20"/>
        </w:rPr>
      </w:pPr>
    </w:p>
    <w:p w14:paraId="25AEBD79" w14:textId="6DE31D4D" w:rsidR="00BE68F1" w:rsidRPr="00DC5AF3" w:rsidRDefault="00BE68F1" w:rsidP="00872E30">
      <w:pPr>
        <w:shd w:val="clear" w:color="auto" w:fill="F1A983" w:themeFill="accent2" w:themeFillTint="99"/>
        <w:ind w:right="-306"/>
        <w:jc w:val="both"/>
        <w:rPr>
          <w:rFonts w:ascii="Aptos" w:hAnsi="Aptos" w:cstheme="minorHAnsi"/>
          <w:b/>
          <w:sz w:val="20"/>
          <w:szCs w:val="20"/>
        </w:rPr>
      </w:pPr>
      <w:r w:rsidRPr="00DC5AF3">
        <w:rPr>
          <w:rFonts w:ascii="Aptos" w:hAnsi="Aptos" w:cstheme="minorHAnsi"/>
          <w:b/>
          <w:sz w:val="20"/>
          <w:szCs w:val="20"/>
        </w:rPr>
        <w:t xml:space="preserve">Title: </w:t>
      </w:r>
      <w:r w:rsidRPr="00DC5AF3">
        <w:rPr>
          <w:rFonts w:ascii="Aptos" w:eastAsia="Times New Roman" w:hAnsi="Aptos" w:cs="Calibri"/>
          <w:spacing w:val="-3"/>
          <w:sz w:val="20"/>
          <w:szCs w:val="20"/>
          <w:lang w:val="en-GB" w:eastAsia="fr-FR"/>
        </w:rPr>
        <w:t xml:space="preserve">Dismantling Structural Barriers to </w:t>
      </w:r>
      <w:r w:rsidR="00872E30">
        <w:rPr>
          <w:rFonts w:ascii="Aptos" w:eastAsia="Times New Roman" w:hAnsi="Aptos" w:cs="Calibri"/>
          <w:spacing w:val="-3"/>
          <w:sz w:val="20"/>
          <w:szCs w:val="20"/>
          <w:lang w:val="en-GB" w:eastAsia="fr-FR"/>
        </w:rPr>
        <w:t>Accessing</w:t>
      </w:r>
      <w:r w:rsidRPr="00DC5AF3">
        <w:rPr>
          <w:rFonts w:ascii="Aptos" w:eastAsia="Times New Roman" w:hAnsi="Aptos" w:cs="Calibri"/>
          <w:spacing w:val="-3"/>
          <w:sz w:val="20"/>
          <w:szCs w:val="20"/>
          <w:lang w:val="en-GB" w:eastAsia="fr-FR"/>
        </w:rPr>
        <w:t xml:space="preserve"> Justice: The First Lady of Zimbabwe's Blueprint for Inclusive Justice</w:t>
      </w:r>
    </w:p>
    <w:tbl>
      <w:tblPr>
        <w:tblStyle w:val="TableGrid"/>
        <w:tblW w:w="9865" w:type="dxa"/>
        <w:tblLook w:val="06A0" w:firstRow="1" w:lastRow="0" w:firstColumn="1" w:lastColumn="0" w:noHBand="1" w:noVBand="1"/>
      </w:tblPr>
      <w:tblGrid>
        <w:gridCol w:w="2054"/>
        <w:gridCol w:w="7811"/>
      </w:tblGrid>
      <w:tr w:rsidR="00BE68F1" w:rsidRPr="00DC5AF3" w14:paraId="4674D9F0" w14:textId="77777777">
        <w:trPr>
          <w:trHeight w:val="432"/>
        </w:trPr>
        <w:tc>
          <w:tcPr>
            <w:tcW w:w="2054" w:type="dxa"/>
            <w:shd w:val="clear" w:color="auto" w:fill="00B0F0"/>
          </w:tcPr>
          <w:p w14:paraId="3BA788C6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b/>
                <w:sz w:val="20"/>
                <w:szCs w:val="20"/>
              </w:rPr>
              <w:tab/>
              <w:t>TIME</w:t>
            </w:r>
          </w:p>
        </w:tc>
        <w:tc>
          <w:tcPr>
            <w:tcW w:w="7811" w:type="dxa"/>
            <w:shd w:val="clear" w:color="auto" w:fill="00B0F0"/>
          </w:tcPr>
          <w:p w14:paraId="2536E827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b/>
                <w:sz w:val="20"/>
                <w:szCs w:val="20"/>
              </w:rPr>
              <w:t>ACTIVITY</w:t>
            </w:r>
          </w:p>
        </w:tc>
      </w:tr>
      <w:tr w:rsidR="00BE68F1" w:rsidRPr="00DC5AF3" w14:paraId="3DD796DB" w14:textId="77777777">
        <w:trPr>
          <w:trHeight w:val="432"/>
        </w:trPr>
        <w:tc>
          <w:tcPr>
            <w:tcW w:w="2054" w:type="dxa"/>
          </w:tcPr>
          <w:p w14:paraId="0BD9A7C1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>10:00-10:05</w:t>
            </w:r>
          </w:p>
        </w:tc>
        <w:tc>
          <w:tcPr>
            <w:tcW w:w="7811" w:type="dxa"/>
          </w:tcPr>
          <w:p w14:paraId="3805493E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 xml:space="preserve">Arrival </w:t>
            </w:r>
          </w:p>
        </w:tc>
      </w:tr>
      <w:tr w:rsidR="00BE68F1" w:rsidRPr="00DC5AF3" w14:paraId="4CB9D055" w14:textId="77777777">
        <w:trPr>
          <w:trHeight w:val="1005"/>
        </w:trPr>
        <w:tc>
          <w:tcPr>
            <w:tcW w:w="2054" w:type="dxa"/>
          </w:tcPr>
          <w:p w14:paraId="12C32667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>10:05-10:10</w:t>
            </w:r>
          </w:p>
        </w:tc>
        <w:tc>
          <w:tcPr>
            <w:tcW w:w="7811" w:type="dxa"/>
          </w:tcPr>
          <w:p w14:paraId="63A504E6" w14:textId="4CE5B731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b/>
                <w:bCs/>
                <w:sz w:val="20"/>
                <w:szCs w:val="20"/>
              </w:rPr>
              <w:t>Introduct</w:t>
            </w:r>
            <w:r w:rsidR="00872E30">
              <w:rPr>
                <w:rFonts w:ascii="Aptos" w:hAnsi="Aptos" w:cstheme="minorHAnsi"/>
                <w:b/>
                <w:bCs/>
                <w:sz w:val="20"/>
                <w:szCs w:val="20"/>
              </w:rPr>
              <w:t>ory Remarks-Honourable</w:t>
            </w:r>
            <w:r w:rsidRPr="00DC5AF3">
              <w:rPr>
                <w:rFonts w:ascii="Aptos" w:hAnsi="Aptos" w:cstheme="minorHAnsi"/>
                <w:sz w:val="20"/>
                <w:szCs w:val="20"/>
              </w:rPr>
              <w:t xml:space="preserve"> Minister of Women Affairs, Community, Small and Medium Enterprises Development, Sen. Monica Mutsvangwa</w:t>
            </w:r>
          </w:p>
        </w:tc>
      </w:tr>
      <w:tr w:rsidR="00BE68F1" w:rsidRPr="00DC5AF3" w14:paraId="47C9BC2D" w14:textId="77777777">
        <w:trPr>
          <w:trHeight w:val="723"/>
        </w:trPr>
        <w:tc>
          <w:tcPr>
            <w:tcW w:w="2054" w:type="dxa"/>
          </w:tcPr>
          <w:p w14:paraId="0F7A327C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>10:10-1020</w:t>
            </w:r>
          </w:p>
        </w:tc>
        <w:tc>
          <w:tcPr>
            <w:tcW w:w="7811" w:type="dxa"/>
          </w:tcPr>
          <w:p w14:paraId="5DEF7E36" w14:textId="0C602D64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b/>
                <w:bCs/>
                <w:sz w:val="20"/>
                <w:szCs w:val="20"/>
              </w:rPr>
              <w:t>Keynote address</w:t>
            </w:r>
            <w:r w:rsidRPr="00DC5AF3">
              <w:rPr>
                <w:rFonts w:ascii="Aptos" w:hAnsi="Aptos" w:cstheme="minorHAnsi"/>
                <w:sz w:val="20"/>
                <w:szCs w:val="20"/>
              </w:rPr>
              <w:t xml:space="preserve">- Her Excellency, the First Lady of the Republic of Zimbabwe, </w:t>
            </w:r>
            <w:r w:rsidR="00872E30">
              <w:rPr>
                <w:rFonts w:ascii="Aptos" w:hAnsi="Aptos" w:cstheme="minorHAnsi"/>
                <w:sz w:val="20"/>
                <w:szCs w:val="20"/>
              </w:rPr>
              <w:t>Dr</w:t>
            </w:r>
            <w:r w:rsidRPr="00DC5AF3">
              <w:rPr>
                <w:rFonts w:ascii="Aptos" w:hAnsi="Aptos" w:cstheme="minorHAnsi"/>
                <w:sz w:val="20"/>
                <w:szCs w:val="20"/>
              </w:rPr>
              <w:t xml:space="preserve"> A. Mnangagwa</w:t>
            </w:r>
          </w:p>
        </w:tc>
      </w:tr>
      <w:tr w:rsidR="00BE68F1" w:rsidRPr="00DC5AF3" w14:paraId="55A7F5A9" w14:textId="77777777">
        <w:trPr>
          <w:trHeight w:val="432"/>
        </w:trPr>
        <w:tc>
          <w:tcPr>
            <w:tcW w:w="2054" w:type="dxa"/>
          </w:tcPr>
          <w:p w14:paraId="2144ED08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>10:20-10:30</w:t>
            </w:r>
          </w:p>
        </w:tc>
        <w:tc>
          <w:tcPr>
            <w:tcW w:w="7811" w:type="dxa"/>
          </w:tcPr>
          <w:p w14:paraId="6C4607D9" w14:textId="77777777" w:rsidR="00BE68F1" w:rsidRPr="00DC5AF3" w:rsidRDefault="00BE68F1" w:rsidP="00872E30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DC5AF3">
              <w:rPr>
                <w:rFonts w:ascii="Aptos" w:hAnsi="Aptos" w:cstheme="minorHAnsi"/>
                <w:sz w:val="20"/>
                <w:szCs w:val="20"/>
              </w:rPr>
              <w:t>Documentary</w:t>
            </w:r>
          </w:p>
        </w:tc>
      </w:tr>
      <w:tr w:rsidR="00BE68F1" w:rsidRPr="00872E30" w14:paraId="0EA9C5FB" w14:textId="77777777" w:rsidTr="00EC6BB8">
        <w:trPr>
          <w:trHeight w:val="841"/>
        </w:trPr>
        <w:tc>
          <w:tcPr>
            <w:tcW w:w="2054" w:type="dxa"/>
            <w:shd w:val="clear" w:color="auto" w:fill="FFFFFF" w:themeFill="background1"/>
          </w:tcPr>
          <w:p w14:paraId="2788288A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880F4D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sz w:val="20"/>
                <w:szCs w:val="20"/>
              </w:rPr>
              <w:t>10:30-10:45</w:t>
            </w:r>
          </w:p>
          <w:p w14:paraId="57BFB64B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0C1335C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EDC41A4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2CEF5BD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1" w:type="dxa"/>
            <w:shd w:val="clear" w:color="auto" w:fill="FFFFFF" w:themeFill="background1"/>
          </w:tcPr>
          <w:p w14:paraId="78B6203C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sz w:val="20"/>
                <w:szCs w:val="20"/>
              </w:rPr>
              <w:t xml:space="preserve">Panel </w:t>
            </w:r>
            <w:r w:rsidRPr="00872E30">
              <w:rPr>
                <w:rFonts w:cstheme="minorHAnsi"/>
                <w:color w:val="000000"/>
                <w:sz w:val="20"/>
                <w:szCs w:val="20"/>
              </w:rPr>
              <w:t>Discussion</w:t>
            </w:r>
            <w:r w:rsidRPr="00872E30">
              <w:rPr>
                <w:rFonts w:cstheme="minorHAnsi"/>
                <w:sz w:val="20"/>
                <w:szCs w:val="20"/>
              </w:rPr>
              <w:t xml:space="preserve">: </w:t>
            </w:r>
          </w:p>
          <w:p w14:paraId="62622970" w14:textId="31A63F4F" w:rsidR="00872E30" w:rsidRPr="00872E30" w:rsidRDefault="00872E30" w:rsidP="00872E30">
            <w:pPr>
              <w:pStyle w:val="Normal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2E3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Panellist 1: President of the Senate; </w:t>
            </w:r>
            <w:r w:rsidRPr="00872E30">
              <w:rPr>
                <w:rStyle w:val="Strong"/>
                <w:rFonts w:asciiTheme="minorHAnsi" w:eastAsiaTheme="majorEastAsia" w:hAnsiTheme="minorHAnsi"/>
                <w:b w:val="0"/>
                <w:bCs w:val="0"/>
                <w:sz w:val="20"/>
                <w:szCs w:val="20"/>
              </w:rPr>
              <w:t>The Role</w:t>
            </w:r>
            <w:r w:rsidRPr="00872E30">
              <w:rPr>
                <w:rStyle w:val="Strong"/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in </w:t>
            </w:r>
            <w:r w:rsidRPr="00872E30">
              <w:rPr>
                <w:rFonts w:asciiTheme="minorHAnsi" w:hAnsiTheme="minorHAnsi"/>
                <w:b/>
                <w:bCs/>
                <w:sz w:val="20"/>
                <w:szCs w:val="20"/>
              </w:rPr>
              <w:t>Transforming Harmful Norms and Empowering women and girls, and fostering community involvement in justice reform</w:t>
            </w:r>
            <w:r w:rsidRPr="00872E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 xml:space="preserve">(This panellist will explore how initiatives by the First Lady, such as the </w:t>
            </w:r>
            <w:proofErr w:type="spellStart"/>
            <w:r w:rsidRPr="00872E3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Nhanga</w:t>
            </w:r>
            <w:proofErr w:type="spellEnd"/>
            <w:r w:rsidRPr="00872E3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/ Gota/</w:t>
            </w:r>
            <w:proofErr w:type="spellStart"/>
            <w:r w:rsidRPr="00872E3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Inxhiba</w:t>
            </w:r>
            <w:proofErr w:type="spellEnd"/>
            <w:r w:rsidRPr="00872E30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 xml:space="preserve"> concept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 xml:space="preserve"> and traditional leadership engagement programs, help transform harmful norms and empower women and girls, enabling communities to access justice.)</w:t>
            </w:r>
          </w:p>
          <w:p w14:paraId="6ADC9383" w14:textId="37EA3F76" w:rsidR="00872E30" w:rsidRPr="00872E30" w:rsidRDefault="00872E30" w:rsidP="00872E30">
            <w:pPr>
              <w:pStyle w:val="Normal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2E3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Panellist 2: CEO, Zimbabwe Gender Commission</w:t>
            </w:r>
            <w:r w:rsidRPr="00872E30">
              <w:rPr>
                <w:rStyle w:val="Strong"/>
                <w:rFonts w:asciiTheme="minorHAnsi" w:hAnsiTheme="minorHAnsi"/>
                <w:sz w:val="20"/>
                <w:szCs w:val="20"/>
              </w:rPr>
              <w:t xml:space="preserve">; </w:t>
            </w:r>
            <w:r w:rsidRPr="00872E30">
              <w:rPr>
                <w:rFonts w:asciiTheme="minorHAnsi" w:hAnsiTheme="minorHAnsi"/>
                <w:b/>
                <w:bCs/>
                <w:sz w:val="20"/>
                <w:szCs w:val="20"/>
              </w:rPr>
              <w:t>Gender Equality and Justice</w:t>
            </w:r>
            <w:r w:rsidRPr="00872E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 xml:space="preserve">(This panellist will highlight the structural barriers that </w:t>
            </w:r>
            <w:r w:rsidR="0072091D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>F</w:t>
            </w:r>
            <w:r w:rsidR="0072091D">
              <w:rPr>
                <w:rStyle w:val="Emphasis"/>
                <w:rFonts w:eastAsiaTheme="majorEastAsia"/>
              </w:rPr>
              <w:t>irst Lady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>’s programs address, emphasising how these barriers disproportionately affect women and marginalised populations in accessing justice.)</w:t>
            </w:r>
          </w:p>
          <w:p w14:paraId="2B140306" w14:textId="2E19EB46" w:rsidR="00872E30" w:rsidRPr="00872E30" w:rsidRDefault="00872E30" w:rsidP="00872E30">
            <w:pPr>
              <w:pStyle w:val="Normal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2E3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Panellist 3: National AIDS Council; </w:t>
            </w:r>
            <w:r w:rsidRPr="00872E30">
              <w:rPr>
                <w:rFonts w:asciiTheme="minorHAnsi" w:hAnsiTheme="minorHAnsi"/>
                <w:b/>
                <w:bCs/>
                <w:sz w:val="20"/>
                <w:szCs w:val="20"/>
              </w:rPr>
              <w:t>The Intersection of Sexual and Reproductive Health and Women’s Access to Justice</w:t>
            </w:r>
            <w:r w:rsidRPr="00872E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>(This panellist will focus on the First Lady’s efforts in this area, illuminating how these issues disproportionately affect women and marginalised populations in accessing justice.)</w:t>
            </w:r>
          </w:p>
          <w:p w14:paraId="374C8C29" w14:textId="05730AF6" w:rsidR="00872E30" w:rsidRPr="00872E30" w:rsidRDefault="00872E30" w:rsidP="00872E30">
            <w:pPr>
              <w:pStyle w:val="Normal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72E3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Panellist 4: Civil Society Organisation (Name TBA);</w:t>
            </w:r>
            <w:r w:rsidRPr="00872E3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72E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Collaborations and Community Engagement 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t xml:space="preserve">(This panellist will stress the importance of collaboration and community involvement in promoting rights awareness and legal literacy, reinforcing how the First </w:t>
            </w:r>
            <w:r w:rsidRPr="00872E30">
              <w:rPr>
                <w:rStyle w:val="Emphasis"/>
                <w:rFonts w:asciiTheme="minorHAnsi" w:eastAsiaTheme="majorEastAsia" w:hAnsiTheme="minorHAnsi"/>
                <w:sz w:val="20"/>
                <w:szCs w:val="20"/>
              </w:rPr>
              <w:lastRenderedPageBreak/>
              <w:t>Lady’s programs foster these collaborations and enhance community engagement to strengthen access to justice.)</w:t>
            </w:r>
          </w:p>
        </w:tc>
      </w:tr>
      <w:tr w:rsidR="00BE68F1" w:rsidRPr="00872E30" w14:paraId="59C2991B" w14:textId="77777777" w:rsidTr="00DC5AF3">
        <w:trPr>
          <w:trHeight w:val="432"/>
        </w:trPr>
        <w:tc>
          <w:tcPr>
            <w:tcW w:w="2054" w:type="dxa"/>
          </w:tcPr>
          <w:p w14:paraId="221CF3CB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sz w:val="20"/>
                <w:szCs w:val="20"/>
              </w:rPr>
              <w:lastRenderedPageBreak/>
              <w:t>10:45- 11:10</w:t>
            </w:r>
          </w:p>
        </w:tc>
        <w:tc>
          <w:tcPr>
            <w:tcW w:w="7811" w:type="dxa"/>
          </w:tcPr>
          <w:p w14:paraId="4BC182C5" w14:textId="47AAEBEA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sz w:val="20"/>
                <w:szCs w:val="20"/>
              </w:rPr>
              <w:t>Plenary Discussion</w:t>
            </w:r>
            <w:r w:rsidR="006B6A61">
              <w:rPr>
                <w:rFonts w:cstheme="minorHAnsi"/>
                <w:sz w:val="20"/>
                <w:szCs w:val="20"/>
              </w:rPr>
              <w:t xml:space="preserve"> and Interaction with other </w:t>
            </w:r>
            <w:r w:rsidR="002F142E">
              <w:rPr>
                <w:rFonts w:cstheme="minorHAnsi"/>
                <w:sz w:val="20"/>
                <w:szCs w:val="20"/>
              </w:rPr>
              <w:t>Member</w:t>
            </w:r>
            <w:r w:rsidR="006B6A61">
              <w:rPr>
                <w:rFonts w:cstheme="minorHAnsi"/>
                <w:sz w:val="20"/>
                <w:szCs w:val="20"/>
              </w:rPr>
              <w:t xml:space="preserve"> States and </w:t>
            </w:r>
            <w:proofErr w:type="spellStart"/>
            <w:r w:rsidR="00B7727F">
              <w:rPr>
                <w:rFonts w:cstheme="minorHAnsi"/>
                <w:sz w:val="20"/>
                <w:szCs w:val="20"/>
              </w:rPr>
              <w:t>Organisations</w:t>
            </w:r>
            <w:proofErr w:type="spellEnd"/>
          </w:p>
        </w:tc>
      </w:tr>
      <w:tr w:rsidR="00BE68F1" w:rsidRPr="00872E30" w14:paraId="625A39D2" w14:textId="77777777" w:rsidTr="00872E30">
        <w:trPr>
          <w:trHeight w:val="58"/>
        </w:trPr>
        <w:tc>
          <w:tcPr>
            <w:tcW w:w="2054" w:type="dxa"/>
          </w:tcPr>
          <w:p w14:paraId="19787CF9" w14:textId="77777777" w:rsidR="00BE68F1" w:rsidRPr="00872E30" w:rsidRDefault="00BE68F1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sz w:val="20"/>
                <w:szCs w:val="20"/>
              </w:rPr>
              <w:t>11:10-11:15</w:t>
            </w:r>
          </w:p>
        </w:tc>
        <w:tc>
          <w:tcPr>
            <w:tcW w:w="7811" w:type="dxa"/>
          </w:tcPr>
          <w:p w14:paraId="3E5F1FF8" w14:textId="5E594C7A" w:rsidR="00BE68F1" w:rsidRPr="00872E30" w:rsidRDefault="00872E30" w:rsidP="00872E30">
            <w:pPr>
              <w:jc w:val="both"/>
              <w:rPr>
                <w:rFonts w:cstheme="minorHAnsi"/>
                <w:sz w:val="20"/>
                <w:szCs w:val="20"/>
              </w:rPr>
            </w:pPr>
            <w:r w:rsidRPr="00872E30">
              <w:rPr>
                <w:rFonts w:cstheme="minorHAnsi"/>
                <w:b/>
                <w:bCs/>
                <w:sz w:val="20"/>
                <w:szCs w:val="20"/>
              </w:rPr>
              <w:t>Vote of Thanks</w:t>
            </w:r>
            <w:r w:rsidR="00BE68F1" w:rsidRPr="00872E30">
              <w:rPr>
                <w:rFonts w:cstheme="minorHAnsi"/>
                <w:b/>
                <w:bCs/>
                <w:sz w:val="20"/>
                <w:szCs w:val="20"/>
              </w:rPr>
              <w:t xml:space="preserve"> and </w:t>
            </w:r>
            <w:r w:rsidRPr="00872E30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="00BE68F1" w:rsidRPr="00872E30">
              <w:rPr>
                <w:rFonts w:cstheme="minorHAnsi"/>
                <w:b/>
                <w:bCs/>
                <w:sz w:val="20"/>
                <w:szCs w:val="20"/>
              </w:rPr>
              <w:t>losing</w:t>
            </w:r>
            <w:r w:rsidR="00BE68F1" w:rsidRPr="00872E30">
              <w:rPr>
                <w:rFonts w:cstheme="minorHAnsi"/>
                <w:sz w:val="20"/>
                <w:szCs w:val="20"/>
              </w:rPr>
              <w:t xml:space="preserve"> – Zimbabwe Ambassador to the United Nations, Ambassador T. Mushayavanhu</w:t>
            </w:r>
          </w:p>
        </w:tc>
      </w:tr>
    </w:tbl>
    <w:p w14:paraId="3A690721" w14:textId="77777777" w:rsidR="00BE68F1" w:rsidRPr="00872E30" w:rsidRDefault="00BE68F1" w:rsidP="00BE68F1">
      <w:pPr>
        <w:jc w:val="both"/>
        <w:rPr>
          <w:rFonts w:cs="Tahoma"/>
          <w:sz w:val="20"/>
          <w:szCs w:val="20"/>
        </w:rPr>
      </w:pPr>
    </w:p>
    <w:p w14:paraId="6A434EA8" w14:textId="77777777" w:rsidR="00BE68F1" w:rsidRPr="00872E30" w:rsidRDefault="00BE68F1" w:rsidP="00BE68F1">
      <w:pPr>
        <w:rPr>
          <w:sz w:val="20"/>
          <w:szCs w:val="20"/>
        </w:rPr>
      </w:pPr>
    </w:p>
    <w:p w14:paraId="332D82C9" w14:textId="77777777" w:rsidR="00BE68F1" w:rsidRPr="00872E30" w:rsidRDefault="00BE68F1" w:rsidP="00BE68F1">
      <w:pPr>
        <w:spacing w:after="0" w:line="240" w:lineRule="auto"/>
        <w:jc w:val="both"/>
        <w:rPr>
          <w:rFonts w:eastAsia="Times New Roman" w:cs="Calibri"/>
          <w:sz w:val="20"/>
          <w:szCs w:val="20"/>
          <w:lang w:val="en-GB" w:eastAsia="fr-FR"/>
        </w:rPr>
      </w:pPr>
    </w:p>
    <w:p w14:paraId="13B92A2B" w14:textId="3558C11F" w:rsidR="00BE68F1" w:rsidRPr="00872E30" w:rsidRDefault="0072091D" w:rsidP="0072091D">
      <w:pPr>
        <w:rPr>
          <w:sz w:val="20"/>
          <w:szCs w:val="20"/>
        </w:rPr>
      </w:pPr>
      <w:r>
        <w:rPr>
          <w:rStyle w:val="Strong"/>
        </w:rPr>
        <w:t>NB</w:t>
      </w:r>
      <w:r>
        <w:t xml:space="preserve">: Explanatory notes and details will be </w:t>
      </w:r>
      <w:r w:rsidR="006B780E">
        <w:t>removed later</w:t>
      </w:r>
      <w:r>
        <w:t>, but in the interim, they help to</w:t>
      </w:r>
      <w:r w:rsidR="00715B42">
        <w:t xml:space="preserve"> show how the discussions build up and evolve</w:t>
      </w:r>
      <w:r w:rsidR="006B780E">
        <w:t>,</w:t>
      </w:r>
      <w:r w:rsidR="00715B42">
        <w:t xml:space="preserve"> as well as clarify the role of</w:t>
      </w:r>
      <w:r>
        <w:t xml:space="preserve"> each </w:t>
      </w:r>
      <w:proofErr w:type="spellStart"/>
      <w:r w:rsidR="00FE730A">
        <w:t>panellist</w:t>
      </w:r>
      <w:proofErr w:type="spellEnd"/>
      <w:r>
        <w:t xml:space="preserve"> on the agenda.</w:t>
      </w:r>
    </w:p>
    <w:sectPr w:rsidR="00BE68F1" w:rsidRPr="00872E30" w:rsidSect="00BE68F1">
      <w:footerReference w:type="default" r:id="rId7"/>
      <w:pgSz w:w="12240" w:h="15840"/>
      <w:pgMar w:top="567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1DA4" w14:textId="77777777" w:rsidR="009719E8" w:rsidRDefault="009719E8">
      <w:pPr>
        <w:spacing w:after="0" w:line="240" w:lineRule="auto"/>
      </w:pPr>
      <w:r>
        <w:separator/>
      </w:r>
    </w:p>
  </w:endnote>
  <w:endnote w:type="continuationSeparator" w:id="0">
    <w:p w14:paraId="63888A46" w14:textId="77777777" w:rsidR="009719E8" w:rsidRDefault="0097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779427"/>
      <w:docPartObj>
        <w:docPartGallery w:val="AutoText"/>
      </w:docPartObj>
    </w:sdtPr>
    <w:sdtContent>
      <w:p w14:paraId="4B41CAA1" w14:textId="77777777" w:rsidR="00BE68F1" w:rsidRDefault="00BE68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6076A57" w14:textId="77777777" w:rsidR="00BE68F1" w:rsidRDefault="00BE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77BF" w14:textId="77777777" w:rsidR="009719E8" w:rsidRDefault="009719E8">
      <w:pPr>
        <w:spacing w:after="0" w:line="240" w:lineRule="auto"/>
      </w:pPr>
      <w:r>
        <w:separator/>
      </w:r>
    </w:p>
  </w:footnote>
  <w:footnote w:type="continuationSeparator" w:id="0">
    <w:p w14:paraId="4C538755" w14:textId="77777777" w:rsidR="009719E8" w:rsidRDefault="00971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ytzS1NDczNTA0M7BQ0lEKTi0uzszPAykwrgUAHLnP0CwAAAA="/>
  </w:docVars>
  <w:rsids>
    <w:rsidRoot w:val="00BE68F1"/>
    <w:rsid w:val="00032697"/>
    <w:rsid w:val="00043353"/>
    <w:rsid w:val="001047A0"/>
    <w:rsid w:val="002F142E"/>
    <w:rsid w:val="00444E11"/>
    <w:rsid w:val="004718FB"/>
    <w:rsid w:val="00536E9A"/>
    <w:rsid w:val="00625B7A"/>
    <w:rsid w:val="006B6A61"/>
    <w:rsid w:val="006B780E"/>
    <w:rsid w:val="006D3782"/>
    <w:rsid w:val="00715B42"/>
    <w:rsid w:val="0072091D"/>
    <w:rsid w:val="00802A87"/>
    <w:rsid w:val="00861A6B"/>
    <w:rsid w:val="00872E30"/>
    <w:rsid w:val="009015D3"/>
    <w:rsid w:val="0090615A"/>
    <w:rsid w:val="009719E8"/>
    <w:rsid w:val="00AF4176"/>
    <w:rsid w:val="00B7727F"/>
    <w:rsid w:val="00BC0046"/>
    <w:rsid w:val="00BC35C3"/>
    <w:rsid w:val="00BE68F1"/>
    <w:rsid w:val="00DB1741"/>
    <w:rsid w:val="00DC5AF3"/>
    <w:rsid w:val="00E57E44"/>
    <w:rsid w:val="00EC6BB8"/>
    <w:rsid w:val="00F4664F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33A9"/>
  <w15:chartTrackingRefBased/>
  <w15:docId w15:val="{7AD499F2-59AD-4BE0-A050-561E3F0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F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8F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BE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BE68F1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BE68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W" w:eastAsia="en-ZW"/>
    </w:rPr>
  </w:style>
  <w:style w:type="character" w:styleId="Strong">
    <w:name w:val="Strong"/>
    <w:basedOn w:val="DefaultParagraphFont"/>
    <w:uiPriority w:val="22"/>
    <w:qFormat/>
    <w:rsid w:val="00872E30"/>
    <w:rPr>
      <w:b/>
      <w:bCs/>
    </w:rPr>
  </w:style>
  <w:style w:type="character" w:styleId="Emphasis">
    <w:name w:val="Emphasis"/>
    <w:basedOn w:val="DefaultParagraphFont"/>
    <w:uiPriority w:val="20"/>
    <w:qFormat/>
    <w:rsid w:val="00872E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0E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Matildah Singende</dc:creator>
  <cp:keywords/>
  <dc:description/>
  <cp:lastModifiedBy>Garikai Manyanga</cp:lastModifiedBy>
  <cp:revision>2</cp:revision>
  <cp:lastPrinted>2026-02-20T08:08:00Z</cp:lastPrinted>
  <dcterms:created xsi:type="dcterms:W3CDTF">2026-03-02T20:45:00Z</dcterms:created>
  <dcterms:modified xsi:type="dcterms:W3CDTF">2026-03-02T20:45:00Z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3283e9f5-648d-456e-8c4b-de91ebfd423b</vt:lpwstr>
  </property>
</Properties>
</file>