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0002B" w14:textId="77777777" w:rsidR="00387865" w:rsidRDefault="00D11DB5" w:rsidP="00076993">
      <w:pPr>
        <w:pStyle w:val="Sinespaciado"/>
        <w:pBdr>
          <w:bottom w:val="single" w:sz="4" w:space="1" w:color="auto"/>
        </w:pBdr>
        <w:spacing w:before="120" w:after="120"/>
        <w:jc w:val="center"/>
        <w:rPr>
          <w:rFonts w:asciiTheme="majorHAnsi" w:hAnsiTheme="majorHAnsi" w:cstheme="majorHAnsi"/>
          <w:b/>
          <w:bCs/>
          <w:sz w:val="28"/>
          <w:szCs w:val="28"/>
        </w:rPr>
      </w:pPr>
      <w:r w:rsidRPr="007976FB">
        <w:rPr>
          <w:rFonts w:asciiTheme="majorHAnsi" w:hAnsiTheme="majorHAnsi" w:cstheme="majorHAnsi"/>
          <w:b/>
          <w:bCs/>
          <w:sz w:val="28"/>
          <w:szCs w:val="28"/>
        </w:rPr>
        <w:t xml:space="preserve">Concept Note </w:t>
      </w:r>
    </w:p>
    <w:p w14:paraId="6483D78D" w14:textId="77777777" w:rsidR="007C36DB" w:rsidRPr="007C36DB" w:rsidRDefault="007C36DB" w:rsidP="003976D0">
      <w:pPr>
        <w:pStyle w:val="Sinespaciado"/>
        <w:spacing w:before="120" w:after="120"/>
        <w:jc w:val="center"/>
        <w:rPr>
          <w:rFonts w:asciiTheme="majorHAnsi" w:hAnsiTheme="majorHAnsi" w:cstheme="majorHAnsi"/>
          <w:sz w:val="28"/>
          <w:szCs w:val="28"/>
        </w:rPr>
      </w:pPr>
    </w:p>
    <w:p w14:paraId="35FB6B37" w14:textId="77777777" w:rsidR="007C36DB" w:rsidRDefault="00D11DB5" w:rsidP="007C36DB">
      <w:pPr>
        <w:pStyle w:val="Sinespaciado"/>
        <w:spacing w:before="120" w:after="120"/>
        <w:jc w:val="center"/>
        <w:rPr>
          <w:rFonts w:asciiTheme="majorHAnsi" w:hAnsiTheme="majorHAnsi" w:cstheme="majorHAnsi"/>
          <w:b/>
          <w:bCs/>
          <w:sz w:val="28"/>
          <w:szCs w:val="28"/>
        </w:rPr>
      </w:pPr>
      <w:r w:rsidRPr="00D11DB5">
        <w:rPr>
          <w:rFonts w:asciiTheme="majorHAnsi" w:hAnsiTheme="majorHAnsi" w:cstheme="majorHAnsi"/>
          <w:b/>
          <w:bCs/>
          <w:sz w:val="28"/>
          <w:szCs w:val="28"/>
        </w:rPr>
        <w:t>Investigating Femicide and Strengthening Access to Justice</w:t>
      </w:r>
      <w:r w:rsidRPr="00D11DB5">
        <w:t>:</w:t>
      </w:r>
      <w:r w:rsidR="003976D0" w:rsidRPr="003976D0">
        <w:rPr>
          <w:b/>
          <w:bCs/>
        </w:rPr>
        <w:br/>
      </w:r>
      <w:r w:rsidR="003976D0" w:rsidRPr="003976D0">
        <w:rPr>
          <w:rFonts w:asciiTheme="majorHAnsi" w:hAnsiTheme="majorHAnsi" w:cstheme="majorHAnsi"/>
          <w:b/>
          <w:bCs/>
          <w:sz w:val="28"/>
          <w:szCs w:val="28"/>
        </w:rPr>
        <w:t>Advances, Challenges and Lessons Across Regions</w:t>
      </w:r>
      <w:r w:rsidR="007C36DB" w:rsidRPr="007C36DB">
        <w:rPr>
          <w:rFonts w:asciiTheme="majorHAnsi" w:hAnsiTheme="majorHAnsi" w:cstheme="majorHAnsi"/>
          <w:b/>
          <w:bCs/>
          <w:sz w:val="28"/>
          <w:szCs w:val="28"/>
        </w:rPr>
        <w:t xml:space="preserve"> </w:t>
      </w:r>
    </w:p>
    <w:p w14:paraId="753A0A7E" w14:textId="0BC23F19" w:rsidR="007C36DB" w:rsidRPr="007C36DB" w:rsidRDefault="007C36DB" w:rsidP="007C36DB">
      <w:pPr>
        <w:pStyle w:val="Sinespaciado"/>
        <w:spacing w:before="120" w:after="120"/>
        <w:jc w:val="center"/>
        <w:rPr>
          <w:rFonts w:asciiTheme="majorHAnsi" w:hAnsiTheme="majorHAnsi" w:cstheme="majorHAnsi"/>
          <w:sz w:val="28"/>
          <w:szCs w:val="28"/>
        </w:rPr>
      </w:pPr>
      <w:r w:rsidRPr="007C36DB">
        <w:rPr>
          <w:rFonts w:asciiTheme="majorHAnsi" w:hAnsiTheme="majorHAnsi" w:cstheme="majorHAnsi"/>
          <w:sz w:val="28"/>
          <w:szCs w:val="28"/>
        </w:rPr>
        <w:t>Side Event during the 70</w:t>
      </w:r>
      <w:r w:rsidRPr="007C36DB">
        <w:rPr>
          <w:rFonts w:asciiTheme="majorHAnsi" w:hAnsiTheme="majorHAnsi" w:cstheme="majorHAnsi"/>
          <w:sz w:val="28"/>
          <w:szCs w:val="28"/>
          <w:vertAlign w:val="superscript"/>
        </w:rPr>
        <w:t>th</w:t>
      </w:r>
      <w:r w:rsidRPr="007C36DB">
        <w:rPr>
          <w:rFonts w:asciiTheme="majorHAnsi" w:hAnsiTheme="majorHAnsi" w:cstheme="majorHAnsi"/>
          <w:sz w:val="28"/>
          <w:szCs w:val="28"/>
        </w:rPr>
        <w:t xml:space="preserve"> Session of the Commission on the Status of Women (CSW70)</w:t>
      </w:r>
    </w:p>
    <w:p w14:paraId="3899E7A7" w14:textId="77777777" w:rsidR="00D11DB5" w:rsidRPr="00751975" w:rsidRDefault="00D11DB5" w:rsidP="00D11DB5"/>
    <w:p w14:paraId="31321CA0" w14:textId="32C47CAB" w:rsidR="0D417BAA" w:rsidRDefault="0D417BAA" w:rsidP="01383585">
      <w:pPr>
        <w:pBdr>
          <w:top w:val="single" w:sz="4" w:space="1" w:color="auto"/>
          <w:left w:val="single" w:sz="4" w:space="4" w:color="auto"/>
          <w:bottom w:val="single" w:sz="4" w:space="1" w:color="auto"/>
          <w:right w:val="single" w:sz="4" w:space="4" w:color="auto"/>
        </w:pBdr>
        <w:shd w:val="clear" w:color="auto" w:fill="E8E8E8" w:themeFill="background2"/>
        <w:jc w:val="both"/>
      </w:pPr>
      <w:r w:rsidRPr="01383585">
        <w:rPr>
          <w:b/>
          <w:bCs/>
        </w:rPr>
        <w:t>O</w:t>
      </w:r>
      <w:r w:rsidR="00D11DB5" w:rsidRPr="01383585">
        <w:rPr>
          <w:b/>
          <w:bCs/>
        </w:rPr>
        <w:t xml:space="preserve">rganized by </w:t>
      </w:r>
    </w:p>
    <w:p w14:paraId="6241C530" w14:textId="0B29A529" w:rsidR="74C397A6" w:rsidRDefault="74C397A6" w:rsidP="01383585">
      <w:pPr>
        <w:pBdr>
          <w:top w:val="single" w:sz="4" w:space="1" w:color="auto"/>
          <w:left w:val="single" w:sz="4" w:space="4" w:color="auto"/>
          <w:bottom w:val="single" w:sz="4" w:space="1" w:color="auto"/>
          <w:right w:val="single" w:sz="4" w:space="4" w:color="auto"/>
        </w:pBdr>
        <w:shd w:val="clear" w:color="auto" w:fill="E8E8E8" w:themeFill="background2"/>
        <w:jc w:val="both"/>
      </w:pPr>
      <w:r>
        <w:t>Cyprus (TBC)</w:t>
      </w:r>
    </w:p>
    <w:p w14:paraId="721B5E5B" w14:textId="1BDBFA08" w:rsidR="74C397A6" w:rsidRDefault="74C397A6" w:rsidP="01383585">
      <w:pPr>
        <w:pBdr>
          <w:top w:val="single" w:sz="4" w:space="1" w:color="auto"/>
          <w:left w:val="single" w:sz="4" w:space="4" w:color="auto"/>
          <w:bottom w:val="single" w:sz="4" w:space="1" w:color="auto"/>
          <w:right w:val="single" w:sz="4" w:space="4" w:color="auto"/>
        </w:pBdr>
        <w:shd w:val="clear" w:color="auto" w:fill="E8E8E8" w:themeFill="background2"/>
        <w:jc w:val="both"/>
        <w:rPr>
          <w:b/>
          <w:bCs/>
        </w:rPr>
      </w:pPr>
      <w:r w:rsidRPr="01383585">
        <w:rPr>
          <w:b/>
          <w:bCs/>
        </w:rPr>
        <w:t>Co-Sponsored by</w:t>
      </w:r>
    </w:p>
    <w:p w14:paraId="77BBA6AC" w14:textId="77777777" w:rsidR="00EB16AF" w:rsidRDefault="00EB16AF" w:rsidP="00EB16AF">
      <w:pPr>
        <w:pBdr>
          <w:top w:val="single" w:sz="4" w:space="1" w:color="auto"/>
          <w:left w:val="single" w:sz="4" w:space="4" w:color="auto"/>
          <w:bottom w:val="single" w:sz="4" w:space="1" w:color="auto"/>
          <w:right w:val="single" w:sz="4" w:space="4" w:color="auto"/>
        </w:pBdr>
        <w:shd w:val="clear" w:color="auto" w:fill="E8E8E8" w:themeFill="background2"/>
        <w:jc w:val="both"/>
      </w:pPr>
      <w:r>
        <w:t>UN Women</w:t>
      </w:r>
    </w:p>
    <w:p w14:paraId="7FBFF5A5" w14:textId="52890AC6" w:rsidR="0023579A" w:rsidRPr="00913374" w:rsidRDefault="00EB16AF" w:rsidP="01383585">
      <w:pPr>
        <w:pBdr>
          <w:top w:val="single" w:sz="4" w:space="1" w:color="auto"/>
          <w:left w:val="single" w:sz="4" w:space="4" w:color="auto"/>
          <w:bottom w:val="single" w:sz="4" w:space="1" w:color="auto"/>
          <w:right w:val="single" w:sz="4" w:space="4" w:color="auto"/>
        </w:pBdr>
        <w:shd w:val="clear" w:color="auto" w:fill="E8E8E8" w:themeFill="background2"/>
        <w:jc w:val="both"/>
      </w:pPr>
      <w:r>
        <w:t>European Union (TBC)</w:t>
      </w:r>
    </w:p>
    <w:p w14:paraId="64EF0276" w14:textId="4E286BE4" w:rsidR="74C397A6" w:rsidRDefault="74C397A6" w:rsidP="01383585">
      <w:pPr>
        <w:pBdr>
          <w:top w:val="single" w:sz="4" w:space="1" w:color="auto"/>
          <w:left w:val="single" w:sz="4" w:space="4" w:color="auto"/>
          <w:bottom w:val="single" w:sz="4" w:space="1" w:color="auto"/>
          <w:right w:val="single" w:sz="4" w:space="4" w:color="auto"/>
        </w:pBdr>
        <w:shd w:val="clear" w:color="auto" w:fill="E8E8E8" w:themeFill="background2"/>
        <w:jc w:val="both"/>
        <w:rPr>
          <w:lang w:val="es-AR"/>
        </w:rPr>
      </w:pPr>
      <w:proofErr w:type="spellStart"/>
      <w:r w:rsidRPr="00693102">
        <w:rPr>
          <w:lang w:val="es-AR"/>
        </w:rPr>
        <w:t>Brazil</w:t>
      </w:r>
      <w:proofErr w:type="spellEnd"/>
      <w:r w:rsidR="00EB16AF" w:rsidRPr="00693102">
        <w:rPr>
          <w:lang w:val="es-AR"/>
        </w:rPr>
        <w:t xml:space="preserve"> (TBC)</w:t>
      </w:r>
    </w:p>
    <w:p w14:paraId="04836FF7" w14:textId="401D7FD3" w:rsidR="00283B97" w:rsidRDefault="00283B97" w:rsidP="01383585">
      <w:pPr>
        <w:pBdr>
          <w:top w:val="single" w:sz="4" w:space="1" w:color="auto"/>
          <w:left w:val="single" w:sz="4" w:space="4" w:color="auto"/>
          <w:bottom w:val="single" w:sz="4" w:space="1" w:color="auto"/>
          <w:right w:val="single" w:sz="4" w:space="4" w:color="auto"/>
        </w:pBdr>
        <w:shd w:val="clear" w:color="auto" w:fill="E8E8E8" w:themeFill="background2"/>
        <w:jc w:val="both"/>
        <w:rPr>
          <w:lang w:val="es-AR"/>
        </w:rPr>
      </w:pPr>
      <w:r>
        <w:rPr>
          <w:lang w:val="es-AR"/>
        </w:rPr>
        <w:t>Bolivia</w:t>
      </w:r>
      <w:bookmarkStart w:id="0" w:name="_GoBack"/>
      <w:bookmarkEnd w:id="0"/>
    </w:p>
    <w:p w14:paraId="3AD990C8" w14:textId="7FF8E9AE" w:rsidR="00913374" w:rsidRPr="00076993" w:rsidRDefault="00913374" w:rsidP="01383585">
      <w:pPr>
        <w:pBdr>
          <w:top w:val="single" w:sz="4" w:space="1" w:color="auto"/>
          <w:left w:val="single" w:sz="4" w:space="4" w:color="auto"/>
          <w:bottom w:val="single" w:sz="4" w:space="1" w:color="auto"/>
          <w:right w:val="single" w:sz="4" w:space="4" w:color="auto"/>
        </w:pBdr>
        <w:shd w:val="clear" w:color="auto" w:fill="E8E8E8" w:themeFill="background2"/>
        <w:jc w:val="both"/>
        <w:rPr>
          <w:lang w:val="es-419"/>
        </w:rPr>
      </w:pPr>
      <w:proofErr w:type="spellStart"/>
      <w:r>
        <w:rPr>
          <w:lang w:val="es-AR"/>
        </w:rPr>
        <w:t>Domin</w:t>
      </w:r>
      <w:r w:rsidR="009C226C">
        <w:rPr>
          <w:lang w:val="es-AR"/>
        </w:rPr>
        <w:t>ican</w:t>
      </w:r>
      <w:proofErr w:type="spellEnd"/>
      <w:r w:rsidR="009C226C">
        <w:rPr>
          <w:lang w:val="es-AR"/>
        </w:rPr>
        <w:t xml:space="preserve"> </w:t>
      </w:r>
      <w:proofErr w:type="spellStart"/>
      <w:r w:rsidR="009C226C">
        <w:rPr>
          <w:lang w:val="es-AR"/>
        </w:rPr>
        <w:t>Republic</w:t>
      </w:r>
      <w:proofErr w:type="spellEnd"/>
      <w:r w:rsidR="009C226C">
        <w:rPr>
          <w:lang w:val="es-AR"/>
        </w:rPr>
        <w:t xml:space="preserve"> (TBC)</w:t>
      </w:r>
    </w:p>
    <w:p w14:paraId="6485FFAC" w14:textId="4D456DC2" w:rsidR="74C397A6" w:rsidRPr="00076993" w:rsidRDefault="74C397A6" w:rsidP="01383585">
      <w:pPr>
        <w:pBdr>
          <w:top w:val="single" w:sz="4" w:space="1" w:color="auto"/>
          <w:left w:val="single" w:sz="4" w:space="4" w:color="auto"/>
          <w:bottom w:val="single" w:sz="4" w:space="1" w:color="auto"/>
          <w:right w:val="single" w:sz="4" w:space="4" w:color="auto"/>
        </w:pBdr>
        <w:shd w:val="clear" w:color="auto" w:fill="E8E8E8" w:themeFill="background2"/>
        <w:jc w:val="both"/>
        <w:rPr>
          <w:lang w:val="es-419"/>
        </w:rPr>
      </w:pPr>
      <w:proofErr w:type="spellStart"/>
      <w:r w:rsidRPr="00693102">
        <w:rPr>
          <w:lang w:val="es-AR"/>
        </w:rPr>
        <w:t>Mexico</w:t>
      </w:r>
      <w:proofErr w:type="spellEnd"/>
      <w:r w:rsidR="00693102" w:rsidRPr="00693102">
        <w:rPr>
          <w:lang w:val="es-AR"/>
        </w:rPr>
        <w:t xml:space="preserve"> (TBC)</w:t>
      </w:r>
    </w:p>
    <w:p w14:paraId="62CE628C" w14:textId="5717A373" w:rsidR="004A1B0C" w:rsidRPr="002E6C60" w:rsidRDefault="74C397A6" w:rsidP="01383585">
      <w:pPr>
        <w:pBdr>
          <w:top w:val="single" w:sz="4" w:space="1" w:color="auto"/>
          <w:left w:val="single" w:sz="4" w:space="4" w:color="auto"/>
          <w:bottom w:val="single" w:sz="4" w:space="1" w:color="auto"/>
          <w:right w:val="single" w:sz="4" w:space="4" w:color="auto"/>
        </w:pBdr>
        <w:shd w:val="clear" w:color="auto" w:fill="E8E8E8" w:themeFill="background2"/>
        <w:jc w:val="both"/>
        <w:rPr>
          <w:lang w:val="es-AR"/>
        </w:rPr>
      </w:pPr>
      <w:r w:rsidRPr="00693102">
        <w:rPr>
          <w:lang w:val="es-AR"/>
        </w:rPr>
        <w:t>Colombia</w:t>
      </w:r>
      <w:r w:rsidR="00693102" w:rsidRPr="00693102">
        <w:rPr>
          <w:lang w:val="es-AR"/>
        </w:rPr>
        <w:t xml:space="preserve"> (</w:t>
      </w:r>
      <w:r w:rsidR="00693102">
        <w:rPr>
          <w:lang w:val="es-AR"/>
        </w:rPr>
        <w:t>TBC)</w:t>
      </w:r>
    </w:p>
    <w:p w14:paraId="38BF8E48" w14:textId="77777777" w:rsidR="001435EA" w:rsidRDefault="001435EA" w:rsidP="001435EA">
      <w:pPr>
        <w:pBdr>
          <w:top w:val="single" w:sz="4" w:space="1" w:color="auto"/>
          <w:left w:val="single" w:sz="4" w:space="4" w:color="auto"/>
          <w:bottom w:val="single" w:sz="4" w:space="1" w:color="auto"/>
          <w:right w:val="single" w:sz="4" w:space="4" w:color="auto"/>
        </w:pBdr>
        <w:shd w:val="clear" w:color="auto" w:fill="E8E8E8" w:themeFill="background2"/>
        <w:jc w:val="both"/>
      </w:pPr>
      <w:r>
        <w:t>Equality Now</w:t>
      </w:r>
    </w:p>
    <w:p w14:paraId="3FC296A7" w14:textId="52544626" w:rsidR="007C5866" w:rsidRDefault="00930ECD" w:rsidP="001435EA">
      <w:pPr>
        <w:pBdr>
          <w:top w:val="single" w:sz="4" w:space="1" w:color="auto"/>
          <w:left w:val="single" w:sz="4" w:space="4" w:color="auto"/>
          <w:bottom w:val="single" w:sz="4" w:space="1" w:color="auto"/>
          <w:right w:val="single" w:sz="4" w:space="4" w:color="auto"/>
        </w:pBdr>
        <w:shd w:val="clear" w:color="auto" w:fill="E8E8E8" w:themeFill="background2"/>
        <w:jc w:val="both"/>
      </w:pPr>
      <w:r>
        <w:t>UN</w:t>
      </w:r>
      <w:r w:rsidR="007C5866" w:rsidRPr="007C5866">
        <w:t xml:space="preserve"> Special Rapporteur on extrajudicial, summary, or arbitrary executions</w:t>
      </w:r>
    </w:p>
    <w:p w14:paraId="4B230E52" w14:textId="1A9A58D4" w:rsidR="74C397A6" w:rsidRPr="009D1C32" w:rsidRDefault="009D1C32" w:rsidP="01383585">
      <w:pPr>
        <w:pBdr>
          <w:top w:val="single" w:sz="4" w:space="1" w:color="auto"/>
          <w:left w:val="single" w:sz="4" w:space="4" w:color="auto"/>
          <w:bottom w:val="single" w:sz="4" w:space="1" w:color="auto"/>
          <w:right w:val="single" w:sz="4" w:space="4" w:color="auto"/>
        </w:pBdr>
        <w:shd w:val="clear" w:color="auto" w:fill="E8E8E8" w:themeFill="background2"/>
        <w:jc w:val="both"/>
      </w:pPr>
      <w:r w:rsidRPr="009D1C32">
        <w:t>Iberoamerican Association of Public Ministries (</w:t>
      </w:r>
      <w:r w:rsidR="74C397A6" w:rsidRPr="009D1C32">
        <w:t>AIAMP</w:t>
      </w:r>
      <w:r w:rsidRPr="009D1C32">
        <w:t>)</w:t>
      </w:r>
    </w:p>
    <w:p w14:paraId="1EB8F5D2" w14:textId="77777777" w:rsidR="004A53F1" w:rsidRDefault="004A53F1" w:rsidP="005736AD">
      <w:pPr>
        <w:pBdr>
          <w:top w:val="single" w:sz="4" w:space="1" w:color="auto"/>
          <w:left w:val="single" w:sz="4" w:space="4" w:color="auto"/>
          <w:bottom w:val="single" w:sz="4" w:space="1" w:color="auto"/>
          <w:right w:val="single" w:sz="4" w:space="4" w:color="auto"/>
        </w:pBdr>
        <w:shd w:val="clear" w:color="auto" w:fill="E8E8E8" w:themeFill="background2"/>
      </w:pPr>
      <w:r w:rsidRPr="004A53F1">
        <w:t>Latin American Network for Gender-based Strategic Litigation (</w:t>
      </w:r>
      <w:proofErr w:type="spellStart"/>
      <w:r w:rsidRPr="004A53F1">
        <w:t>ReLeG</w:t>
      </w:r>
      <w:proofErr w:type="spellEnd"/>
      <w:r w:rsidRPr="004A53F1">
        <w:t>)</w:t>
      </w:r>
    </w:p>
    <w:p w14:paraId="7F0E5CB5" w14:textId="6DC44C88" w:rsidR="00D11DB5" w:rsidRPr="00751975" w:rsidRDefault="00D11DB5" w:rsidP="005736AD">
      <w:pPr>
        <w:pBdr>
          <w:top w:val="single" w:sz="4" w:space="1" w:color="auto"/>
          <w:left w:val="single" w:sz="4" w:space="4" w:color="auto"/>
          <w:bottom w:val="single" w:sz="4" w:space="1" w:color="auto"/>
          <w:right w:val="single" w:sz="4" w:space="4" w:color="auto"/>
        </w:pBdr>
        <w:shd w:val="clear" w:color="auto" w:fill="E8E8E8" w:themeFill="background2"/>
      </w:pPr>
      <w:r w:rsidRPr="00751975">
        <w:rPr>
          <w:b/>
          <w:bCs/>
        </w:rPr>
        <w:t>Date:</w:t>
      </w:r>
      <w:r>
        <w:t xml:space="preserve"> TBC</w:t>
      </w:r>
    </w:p>
    <w:p w14:paraId="629CA2D9" w14:textId="77777777" w:rsidR="00D11DB5" w:rsidRDefault="00D11DB5" w:rsidP="005736AD">
      <w:pPr>
        <w:pBdr>
          <w:top w:val="single" w:sz="4" w:space="1" w:color="auto"/>
          <w:left w:val="single" w:sz="4" w:space="4" w:color="auto"/>
          <w:bottom w:val="single" w:sz="4" w:space="1" w:color="auto"/>
          <w:right w:val="single" w:sz="4" w:space="4" w:color="auto"/>
        </w:pBdr>
        <w:shd w:val="clear" w:color="auto" w:fill="E8E8E8" w:themeFill="background2"/>
      </w:pPr>
      <w:r w:rsidRPr="00751975">
        <w:rPr>
          <w:b/>
          <w:bCs/>
        </w:rPr>
        <w:t>Time:</w:t>
      </w:r>
      <w:r>
        <w:rPr>
          <w:b/>
          <w:bCs/>
        </w:rPr>
        <w:t xml:space="preserve"> </w:t>
      </w:r>
      <w:r w:rsidRPr="00751975">
        <w:t>TBC</w:t>
      </w:r>
    </w:p>
    <w:p w14:paraId="3E4A0476" w14:textId="5F3DD837" w:rsidR="00D11DB5" w:rsidRDefault="00D11DB5" w:rsidP="005736AD">
      <w:pPr>
        <w:pBdr>
          <w:top w:val="single" w:sz="4" w:space="1" w:color="auto"/>
          <w:left w:val="single" w:sz="4" w:space="4" w:color="auto"/>
          <w:bottom w:val="single" w:sz="4" w:space="1" w:color="auto"/>
          <w:right w:val="single" w:sz="4" w:space="4" w:color="auto"/>
        </w:pBdr>
        <w:shd w:val="clear" w:color="auto" w:fill="E8E8E8" w:themeFill="background2"/>
      </w:pPr>
      <w:r w:rsidRPr="00751975">
        <w:rPr>
          <w:b/>
          <w:bCs/>
        </w:rPr>
        <w:t>Venue:</w:t>
      </w:r>
      <w:r>
        <w:t xml:space="preserve"> TBC</w:t>
      </w:r>
    </w:p>
    <w:p w14:paraId="5300ED87" w14:textId="77777777" w:rsidR="00D11DB5" w:rsidRDefault="00D11DB5" w:rsidP="00D11DB5"/>
    <w:p w14:paraId="66CB5635" w14:textId="77777777" w:rsidR="005736AD" w:rsidRPr="005736AD" w:rsidRDefault="005736AD" w:rsidP="005736AD">
      <w:pPr>
        <w:pStyle w:val="Prrafodelista"/>
        <w:ind w:hanging="360"/>
        <w:rPr>
          <w:b/>
          <w:bCs/>
        </w:rPr>
      </w:pPr>
      <w:r w:rsidRPr="005736AD">
        <w:rPr>
          <w:b/>
          <w:bCs/>
        </w:rPr>
        <w:t>1. Background</w:t>
      </w:r>
    </w:p>
    <w:p w14:paraId="52814497" w14:textId="77777777" w:rsidR="005736AD" w:rsidRPr="005736AD" w:rsidRDefault="005736AD" w:rsidP="005736AD">
      <w:pPr>
        <w:jc w:val="both"/>
      </w:pPr>
      <w:r w:rsidRPr="005736AD">
        <w:t xml:space="preserve">Femicide constitutes the most extreme manifestation of violence against women and girls and a profound failure of prevention, protection and justice systems. These killings are </w:t>
      </w:r>
      <w:r w:rsidRPr="005736AD">
        <w:lastRenderedPageBreak/>
        <w:t>rarely isolated events. They are most often the culmination of patterns of gender-based violence and repeated failures to provide timely protection and accountability.</w:t>
      </w:r>
    </w:p>
    <w:p w14:paraId="44313B95" w14:textId="77777777" w:rsidR="005736AD" w:rsidRPr="005736AD" w:rsidRDefault="005736AD" w:rsidP="005736AD">
      <w:pPr>
        <w:jc w:val="both"/>
      </w:pPr>
      <w:r w:rsidRPr="005736AD">
        <w:t>Effective access to justice in cases of femicide therefore requires more than the existence of criminal offences. It demands investigative approaches that can recognize gender-based patterns of violence and confront institutional bias and systemic failures within justice systems.</w:t>
      </w:r>
    </w:p>
    <w:p w14:paraId="4B817760" w14:textId="77777777" w:rsidR="004E4CD0" w:rsidRPr="004E4CD0" w:rsidRDefault="004E4CD0" w:rsidP="004E4CD0">
      <w:pPr>
        <w:jc w:val="both"/>
      </w:pPr>
      <w:r w:rsidRPr="004E4CD0">
        <w:t>Over the past decade, important advances have been made in recognizing femicide as a distinct crime and a serious human rights violation, particularly in Latin America and the Caribbean, a region that has played a leading role in articulating legal and institutional responses to gender-related killings of women. One of the most significant developments in this context has been the emergence of integrated approaches that combine the legal recognition of femicide with specific investigative and prosecutorial guidelines.</w:t>
      </w:r>
    </w:p>
    <w:p w14:paraId="40CD73D1" w14:textId="207D27CD" w:rsidR="004E4CD0" w:rsidRPr="004E4CD0" w:rsidRDefault="004E4CD0" w:rsidP="004E4CD0">
      <w:pPr>
        <w:jc w:val="both"/>
      </w:pPr>
      <w:r w:rsidRPr="004E4CD0">
        <w:t>In this regard, the Model Protocol for the Investigation of Gender-Related Killings of Women (Femicide/Feminicide), developed by UN Women</w:t>
      </w:r>
      <w:r>
        <w:t xml:space="preserve"> and</w:t>
      </w:r>
      <w:r w:rsidRPr="004E4CD0">
        <w:t xml:space="preserve"> OHCHR in 2015, represents a consolidated regional experience grounded in international human rights standards and the principle of due diligence, and offers a reference framework for other regions seeking to strengthen justice responses to lethal violence against women.</w:t>
      </w:r>
    </w:p>
    <w:p w14:paraId="657BD41C" w14:textId="77777777" w:rsidR="005736AD" w:rsidRDefault="005736AD" w:rsidP="005736AD">
      <w:pPr>
        <w:jc w:val="both"/>
      </w:pPr>
      <w:r w:rsidRPr="005736AD">
        <w:t>Ten years after its publication, the Model Protocol provides a valuable opportunity to reflect on the strengths of this integrated model of response to lethal violence against women, as well as on its limitations and implementation challenges. While progress has been made in several regions, persistent gaps remain, including inconsistent application of gender perspectives in investigations, weaknesses in forensic and evidentiary practices, limited institutional coordination, and enduring gender stereotypes within justice systems.</w:t>
      </w:r>
    </w:p>
    <w:p w14:paraId="323335F2" w14:textId="77777777" w:rsidR="008304EB" w:rsidRDefault="008304EB" w:rsidP="008304EB">
      <w:pPr>
        <w:jc w:val="both"/>
      </w:pPr>
      <w:r>
        <w:t>The Minnesota Protocol is the global standard for investigating unlawful deaths, but it lacks specific guidance on femicide. To address this gap, the UN Special Rapporteur on extrajudicial executions recommended creating an addendum focused on investigating gender-related killings of women and girls. The UN General Assembly supported this recommendation and encouraged the Office of the High Commissioner for Human Rights, together with relevant experts, to lead the drafting process.</w:t>
      </w:r>
    </w:p>
    <w:p w14:paraId="71A95443" w14:textId="77777777" w:rsidR="008304EB" w:rsidRDefault="008304EB" w:rsidP="008304EB">
      <w:pPr>
        <w:jc w:val="both"/>
      </w:pPr>
      <w:r>
        <w:t>In 2024, the Special Rapporteur initiated the development of concise, practitioner-oriented guidance to complement the Minnesota Protocol, with particular attention to forensic practice. This new guidance aims to ensure femicides are properly identified, investigated, documented, and prosecuted, and to strengthen truth, justice, and reparation for victims and their families. It also seeks to improve the recording of gender-based killings and the identification of systemic patterns for effective prevention.</w:t>
      </w:r>
    </w:p>
    <w:p w14:paraId="2FCFE8C8" w14:textId="77777777" w:rsidR="008304EB" w:rsidRDefault="008304EB" w:rsidP="008304EB">
      <w:pPr>
        <w:jc w:val="both"/>
      </w:pPr>
      <w:r>
        <w:lastRenderedPageBreak/>
        <w:t>The guidance is intended for justice system professionals—including investigators, forensic experts, prosecutors, law enforcement, and judges—as well as national human rights institutions, UN mechanisms, civil society, and families monitoring femicide investigations.</w:t>
      </w:r>
    </w:p>
    <w:p w14:paraId="5A851FF8" w14:textId="3A4979BC" w:rsidR="005736AD" w:rsidRPr="005736AD" w:rsidRDefault="005736AD" w:rsidP="008304EB">
      <w:pPr>
        <w:jc w:val="both"/>
      </w:pPr>
      <w:r w:rsidRPr="005736AD">
        <w:t>At the same time, other regions have developed complementary legal, institutional and jurisprudential responses to femicide, offering important lessons on prevention, investigation and accountability. However, opportunities for structured, cross-regional dialogue on how different justice systems address lethal violence against women remain limited.</w:t>
      </w:r>
    </w:p>
    <w:p w14:paraId="66F370F0" w14:textId="6C341991" w:rsidR="005736AD" w:rsidRDefault="0091582C" w:rsidP="005736AD">
      <w:pPr>
        <w:jc w:val="both"/>
      </w:pPr>
      <w:r w:rsidRPr="0091582C">
        <w:t>Against this backdrop, this side event seeks to contribute to the discussions of the Commission on the Status of Women by highlighting the critical role of access to justice in responding to femicide. Drawing on decades of legal reforms, investigative frameworks and institutional practices, the event will invite reflection on the effectiveness of current approaches and the need to strengthen diagnoses and justice responses to lethal violence against women across diverse contexts.</w:t>
      </w:r>
    </w:p>
    <w:p w14:paraId="052B6998" w14:textId="77777777" w:rsidR="0091582C" w:rsidRPr="005736AD" w:rsidRDefault="0091582C" w:rsidP="005736AD">
      <w:pPr>
        <w:jc w:val="both"/>
      </w:pPr>
    </w:p>
    <w:p w14:paraId="24409EDA" w14:textId="77777777" w:rsidR="005736AD" w:rsidRDefault="005736AD" w:rsidP="005736AD">
      <w:pPr>
        <w:pStyle w:val="Prrafodelista"/>
        <w:ind w:hanging="360"/>
        <w:jc w:val="both"/>
        <w:rPr>
          <w:b/>
          <w:bCs/>
        </w:rPr>
      </w:pPr>
      <w:r w:rsidRPr="005736AD">
        <w:rPr>
          <w:b/>
          <w:bCs/>
        </w:rPr>
        <w:t>2. Objective</w:t>
      </w:r>
    </w:p>
    <w:p w14:paraId="0FC688A1" w14:textId="113AC9D2" w:rsidR="0091582C" w:rsidRPr="0091582C" w:rsidRDefault="0091582C" w:rsidP="0091582C">
      <w:pPr>
        <w:jc w:val="both"/>
      </w:pPr>
      <w:r w:rsidRPr="0091582C">
        <w:t xml:space="preserve">The objective of this side event is </w:t>
      </w:r>
      <w:r w:rsidRPr="005736AD">
        <w:t xml:space="preserve">to promote cross-regional dialogue </w:t>
      </w:r>
      <w:r w:rsidRPr="0091582C">
        <w:t>on strengthening access to justice in cases of femicide, by examining how integrated legal and investigative approaches have contributed to accountability, where persistent gaps remain, and what adjustments are needed to improve justice responses to lethal violence against women across different regional contexts.</w:t>
      </w:r>
    </w:p>
    <w:p w14:paraId="0AAFDB72" w14:textId="0BC2186E" w:rsidR="0091582C" w:rsidRDefault="0091582C" w:rsidP="005736AD">
      <w:pPr>
        <w:jc w:val="both"/>
      </w:pPr>
      <w:r w:rsidRPr="0091582C">
        <w:t>In particular, the event aims to reflect on accumulated experience with the criminalization of femicide and the application of investigative standards, assess their effectiveness in practice, and foster cross-regional exchange on challenges, lessons learned and priorities for improving investigations, prosecutions and institutional accountability.</w:t>
      </w:r>
    </w:p>
    <w:p w14:paraId="47564B46" w14:textId="47C20D16" w:rsidR="005736AD" w:rsidRPr="005736AD" w:rsidRDefault="005736AD" w:rsidP="0091582C">
      <w:pPr>
        <w:pStyle w:val="Prrafodelista"/>
        <w:numPr>
          <w:ilvl w:val="0"/>
          <w:numId w:val="3"/>
        </w:numPr>
        <w:jc w:val="both"/>
      </w:pPr>
      <w:r w:rsidRPr="005736AD">
        <w:t>Reflect on the added value of integrated approaches that combine the criminalization of femicide with gender-responsive investigative and prosecutorial standards.</w:t>
      </w:r>
    </w:p>
    <w:p w14:paraId="15DB0F68" w14:textId="7D728AEA" w:rsidR="005736AD" w:rsidRPr="005736AD" w:rsidRDefault="005736AD" w:rsidP="0091582C">
      <w:pPr>
        <w:pStyle w:val="Prrafodelista"/>
        <w:numPr>
          <w:ilvl w:val="0"/>
          <w:numId w:val="3"/>
        </w:numPr>
        <w:jc w:val="both"/>
      </w:pPr>
      <w:r w:rsidRPr="005736AD">
        <w:t>Exchange lessons learned and promising practices across regions in the investigation and prosecution of femicide and other forms of lethal violence against women.</w:t>
      </w:r>
    </w:p>
    <w:p w14:paraId="0FEAC361" w14:textId="4CCF5ADB" w:rsidR="005736AD" w:rsidRPr="005736AD" w:rsidRDefault="005736AD" w:rsidP="0091582C">
      <w:pPr>
        <w:pStyle w:val="Prrafodelista"/>
        <w:numPr>
          <w:ilvl w:val="0"/>
          <w:numId w:val="3"/>
        </w:numPr>
        <w:jc w:val="both"/>
      </w:pPr>
      <w:r w:rsidRPr="005736AD">
        <w:t>Identify emerging challenges and priority areas for strengthening justice responses to femicide over the next decade, in line with international human rights standards.</w:t>
      </w:r>
    </w:p>
    <w:p w14:paraId="3C56155D" w14:textId="4F7EC636" w:rsidR="005736AD" w:rsidRPr="005736AD" w:rsidRDefault="005736AD" w:rsidP="005736AD">
      <w:pPr>
        <w:jc w:val="both"/>
      </w:pPr>
    </w:p>
    <w:p w14:paraId="4D7E624F" w14:textId="25DEC90F" w:rsidR="005736AD" w:rsidRPr="005736AD" w:rsidRDefault="005736AD" w:rsidP="005736AD">
      <w:pPr>
        <w:pStyle w:val="Prrafodelista"/>
        <w:ind w:hanging="360"/>
        <w:jc w:val="both"/>
        <w:rPr>
          <w:b/>
          <w:bCs/>
        </w:rPr>
      </w:pPr>
      <w:r>
        <w:rPr>
          <w:b/>
          <w:bCs/>
        </w:rPr>
        <w:t>3</w:t>
      </w:r>
      <w:r w:rsidRPr="005736AD">
        <w:rPr>
          <w:b/>
          <w:bCs/>
        </w:rPr>
        <w:t>. Format</w:t>
      </w:r>
    </w:p>
    <w:p w14:paraId="048E3C28" w14:textId="77777777" w:rsidR="005736AD" w:rsidRDefault="005736AD" w:rsidP="005736AD">
      <w:pPr>
        <w:jc w:val="both"/>
      </w:pPr>
      <w:r w:rsidRPr="005736AD">
        <w:lastRenderedPageBreak/>
        <w:t>The event will take the form of a moderated panel discussion combining short expert interventions with interactive dialogue. The format will prioritize comparative perspectives and cross-regional exchange, encouraging reflection on diverse legal frameworks, investigative practices and institutional models.</w:t>
      </w:r>
    </w:p>
    <w:p w14:paraId="51111A8A" w14:textId="77777777" w:rsidR="005736AD" w:rsidRDefault="005736AD" w:rsidP="005736AD">
      <w:pPr>
        <w:jc w:val="both"/>
      </w:pPr>
    </w:p>
    <w:p w14:paraId="0713F485" w14:textId="02431A66" w:rsidR="005736AD" w:rsidRPr="00751975" w:rsidRDefault="005736AD" w:rsidP="005736AD">
      <w:pPr>
        <w:pStyle w:val="Prrafodelista"/>
        <w:ind w:hanging="360"/>
        <w:jc w:val="both"/>
        <w:rPr>
          <w:b/>
          <w:bCs/>
        </w:rPr>
      </w:pPr>
      <w:r>
        <w:rPr>
          <w:b/>
          <w:bCs/>
        </w:rPr>
        <w:t xml:space="preserve">4. </w:t>
      </w:r>
      <w:r w:rsidRPr="00751975">
        <w:rPr>
          <w:b/>
          <w:bCs/>
        </w:rPr>
        <w:t>Audience</w:t>
      </w:r>
    </w:p>
    <w:p w14:paraId="1DF44C91" w14:textId="77777777" w:rsidR="0091582C" w:rsidRPr="0091582C" w:rsidRDefault="0091582C" w:rsidP="0091582C">
      <w:pPr>
        <w:jc w:val="both"/>
      </w:pPr>
      <w:r w:rsidRPr="0091582C">
        <w:t>The event is open to representatives of governments and justice sector institutions, including judges, prosecutors and policy makers working on access to justice, gender-based violence and criminal justice reform; as well as representatives of international and regional organizations engaged in human rights and gender equality.</w:t>
      </w:r>
    </w:p>
    <w:p w14:paraId="402A1252" w14:textId="77777777" w:rsidR="0091582C" w:rsidRPr="0091582C" w:rsidRDefault="0091582C" w:rsidP="0091582C">
      <w:pPr>
        <w:jc w:val="both"/>
      </w:pPr>
      <w:r w:rsidRPr="0091582C">
        <w:t>The discussion will be particularly relevant for practitioners and experts involved in the investigation and prosecution of femicide, the development or implementation of investigative standards, and the design of institutional responses aimed at strengthening accountability and access to justice for women.</w:t>
      </w:r>
    </w:p>
    <w:p w14:paraId="0FC68748" w14:textId="77777777" w:rsidR="00D11DB5" w:rsidRDefault="00D11DB5" w:rsidP="005736AD">
      <w:pPr>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2059"/>
        <w:gridCol w:w="3542"/>
        <w:gridCol w:w="2598"/>
      </w:tblGrid>
      <w:tr w:rsidR="009811B0" w:rsidRPr="009811B0" w14:paraId="544B6599" w14:textId="04AF15FC" w:rsidTr="009811B0">
        <w:trPr>
          <w:tblHeader/>
          <w:tblCellSpacing w:w="15" w:type="dxa"/>
        </w:trPr>
        <w:tc>
          <w:tcPr>
            <w:tcW w:w="1106" w:type="dxa"/>
            <w:shd w:val="clear" w:color="auto" w:fill="D1D1D1" w:themeFill="background2" w:themeFillShade="E6"/>
            <w:vAlign w:val="center"/>
            <w:hideMark/>
          </w:tcPr>
          <w:p w14:paraId="12ACCD5B" w14:textId="77777777" w:rsidR="009811B0" w:rsidRPr="009811B0" w:rsidRDefault="009811B0" w:rsidP="009811B0">
            <w:pPr>
              <w:jc w:val="center"/>
              <w:rPr>
                <w:b/>
                <w:bCs/>
              </w:rPr>
            </w:pPr>
            <w:r w:rsidRPr="009811B0">
              <w:rPr>
                <w:b/>
                <w:bCs/>
              </w:rPr>
              <w:t>Duration</w:t>
            </w:r>
          </w:p>
        </w:tc>
        <w:tc>
          <w:tcPr>
            <w:tcW w:w="2029" w:type="dxa"/>
            <w:shd w:val="clear" w:color="auto" w:fill="D1D1D1" w:themeFill="background2" w:themeFillShade="E6"/>
            <w:vAlign w:val="center"/>
            <w:hideMark/>
          </w:tcPr>
          <w:p w14:paraId="0A4ED17C" w14:textId="77777777" w:rsidR="009811B0" w:rsidRPr="009811B0" w:rsidRDefault="009811B0" w:rsidP="009811B0">
            <w:pPr>
              <w:jc w:val="center"/>
              <w:rPr>
                <w:b/>
                <w:bCs/>
              </w:rPr>
            </w:pPr>
            <w:r w:rsidRPr="009811B0">
              <w:rPr>
                <w:b/>
                <w:bCs/>
              </w:rPr>
              <w:t>Segment</w:t>
            </w:r>
          </w:p>
        </w:tc>
        <w:tc>
          <w:tcPr>
            <w:tcW w:w="3512" w:type="dxa"/>
            <w:shd w:val="clear" w:color="auto" w:fill="D1D1D1" w:themeFill="background2" w:themeFillShade="E6"/>
            <w:vAlign w:val="center"/>
            <w:hideMark/>
          </w:tcPr>
          <w:p w14:paraId="0CC74915" w14:textId="1DF1F653" w:rsidR="009811B0" w:rsidRPr="009811B0" w:rsidRDefault="009811B0" w:rsidP="009811B0">
            <w:pPr>
              <w:jc w:val="center"/>
              <w:rPr>
                <w:b/>
                <w:bCs/>
              </w:rPr>
            </w:pPr>
            <w:r w:rsidRPr="009811B0">
              <w:rPr>
                <w:b/>
                <w:bCs/>
              </w:rPr>
              <w:t xml:space="preserve">Content </w:t>
            </w:r>
          </w:p>
        </w:tc>
        <w:tc>
          <w:tcPr>
            <w:tcW w:w="2553" w:type="dxa"/>
            <w:shd w:val="clear" w:color="auto" w:fill="D1D1D1" w:themeFill="background2" w:themeFillShade="E6"/>
          </w:tcPr>
          <w:p w14:paraId="4BEB1759" w14:textId="6683A046" w:rsidR="009811B0" w:rsidRPr="009811B0" w:rsidRDefault="009811B0" w:rsidP="009811B0">
            <w:pPr>
              <w:jc w:val="center"/>
              <w:rPr>
                <w:b/>
                <w:bCs/>
              </w:rPr>
            </w:pPr>
            <w:r w:rsidRPr="009811B0">
              <w:rPr>
                <w:b/>
                <w:bCs/>
              </w:rPr>
              <w:t>Speakers</w:t>
            </w:r>
          </w:p>
        </w:tc>
      </w:tr>
      <w:tr w:rsidR="009811B0" w:rsidRPr="009811B0" w14:paraId="34700096" w14:textId="14EB9105" w:rsidTr="009811B0">
        <w:trPr>
          <w:tblCellSpacing w:w="15" w:type="dxa"/>
        </w:trPr>
        <w:tc>
          <w:tcPr>
            <w:tcW w:w="1106" w:type="dxa"/>
            <w:vAlign w:val="center"/>
            <w:hideMark/>
          </w:tcPr>
          <w:p w14:paraId="6B85768C" w14:textId="38030C2B" w:rsidR="009811B0" w:rsidRPr="009811B0" w:rsidRDefault="00BC6547" w:rsidP="009811B0">
            <w:pPr>
              <w:jc w:val="both"/>
            </w:pPr>
            <w:r>
              <w:rPr>
                <w:b/>
                <w:bCs/>
              </w:rPr>
              <w:t xml:space="preserve">10 </w:t>
            </w:r>
            <w:r w:rsidR="009811B0" w:rsidRPr="009811B0">
              <w:rPr>
                <w:b/>
                <w:bCs/>
              </w:rPr>
              <w:t>minutes</w:t>
            </w:r>
          </w:p>
        </w:tc>
        <w:tc>
          <w:tcPr>
            <w:tcW w:w="2029" w:type="dxa"/>
            <w:vAlign w:val="center"/>
            <w:hideMark/>
          </w:tcPr>
          <w:p w14:paraId="7A21BC23" w14:textId="77777777" w:rsidR="009811B0" w:rsidRPr="009811B0" w:rsidRDefault="009811B0" w:rsidP="009811B0">
            <w:pPr>
              <w:jc w:val="both"/>
            </w:pPr>
            <w:r w:rsidRPr="009811B0">
              <w:rPr>
                <w:b/>
                <w:bCs/>
              </w:rPr>
              <w:t>Opening remarks</w:t>
            </w:r>
          </w:p>
        </w:tc>
        <w:tc>
          <w:tcPr>
            <w:tcW w:w="3512" w:type="dxa"/>
            <w:vAlign w:val="center"/>
            <w:hideMark/>
          </w:tcPr>
          <w:p w14:paraId="7B3B7E7A" w14:textId="3FA8B463" w:rsidR="009811B0" w:rsidRPr="009811B0" w:rsidRDefault="009811B0" w:rsidP="009811B0">
            <w:pPr>
              <w:jc w:val="both"/>
            </w:pPr>
            <w:r w:rsidRPr="009811B0">
              <w:t xml:space="preserve">Welcome and framing of the event in the context of the CSW and access to justice for women </w:t>
            </w:r>
          </w:p>
        </w:tc>
        <w:tc>
          <w:tcPr>
            <w:tcW w:w="2553" w:type="dxa"/>
          </w:tcPr>
          <w:p w14:paraId="2C271E92" w14:textId="61A97D6A" w:rsidR="009811B0" w:rsidRPr="009811B0" w:rsidRDefault="009811B0" w:rsidP="009811B0">
            <w:pPr>
              <w:jc w:val="center"/>
            </w:pPr>
          </w:p>
        </w:tc>
      </w:tr>
      <w:tr w:rsidR="009811B0" w:rsidRPr="009811B0" w14:paraId="5BD7E9AA" w14:textId="73CC91E4" w:rsidTr="009811B0">
        <w:trPr>
          <w:tblCellSpacing w:w="15" w:type="dxa"/>
        </w:trPr>
        <w:tc>
          <w:tcPr>
            <w:tcW w:w="1106" w:type="dxa"/>
            <w:vAlign w:val="center"/>
            <w:hideMark/>
          </w:tcPr>
          <w:p w14:paraId="47D3547B" w14:textId="62F0ABCD" w:rsidR="009811B0" w:rsidRPr="009811B0" w:rsidRDefault="009811B0" w:rsidP="009811B0">
            <w:pPr>
              <w:jc w:val="both"/>
            </w:pPr>
            <w:r w:rsidRPr="009811B0">
              <w:rPr>
                <w:b/>
                <w:bCs/>
              </w:rPr>
              <w:t>1</w:t>
            </w:r>
            <w:r w:rsidR="00BC6547">
              <w:rPr>
                <w:b/>
                <w:bCs/>
              </w:rPr>
              <w:t>5</w:t>
            </w:r>
            <w:r w:rsidRPr="009811B0">
              <w:rPr>
                <w:b/>
                <w:bCs/>
              </w:rPr>
              <w:t xml:space="preserve"> minutes</w:t>
            </w:r>
          </w:p>
        </w:tc>
        <w:tc>
          <w:tcPr>
            <w:tcW w:w="2029" w:type="dxa"/>
            <w:vAlign w:val="center"/>
            <w:hideMark/>
          </w:tcPr>
          <w:p w14:paraId="115CD24C" w14:textId="77777777" w:rsidR="009811B0" w:rsidRPr="009811B0" w:rsidRDefault="009811B0" w:rsidP="009811B0">
            <w:pPr>
              <w:jc w:val="both"/>
            </w:pPr>
            <w:r w:rsidRPr="009811B0">
              <w:rPr>
                <w:b/>
                <w:bCs/>
              </w:rPr>
              <w:t>Setting the scene</w:t>
            </w:r>
          </w:p>
        </w:tc>
        <w:tc>
          <w:tcPr>
            <w:tcW w:w="3512" w:type="dxa"/>
            <w:vAlign w:val="center"/>
            <w:hideMark/>
          </w:tcPr>
          <w:p w14:paraId="30FC5865" w14:textId="5D16FE3A" w:rsidR="009811B0" w:rsidRPr="009811B0" w:rsidRDefault="009811B0" w:rsidP="009811B0">
            <w:pPr>
              <w:jc w:val="both"/>
            </w:pPr>
            <w:r w:rsidRPr="009811B0">
              <w:t>Legal recognition and investigative standards: assessing advances in the criminalization of femicide and the development of investigative protocols</w:t>
            </w:r>
          </w:p>
        </w:tc>
        <w:tc>
          <w:tcPr>
            <w:tcW w:w="2553" w:type="dxa"/>
          </w:tcPr>
          <w:p w14:paraId="0A05C347" w14:textId="64622C25" w:rsidR="00EE1F7B" w:rsidRPr="009811B0" w:rsidRDefault="00EE1F7B" w:rsidP="009811B0">
            <w:pPr>
              <w:jc w:val="center"/>
              <w:rPr>
                <w:b/>
                <w:bCs/>
              </w:rPr>
            </w:pPr>
          </w:p>
        </w:tc>
      </w:tr>
      <w:tr w:rsidR="009811B0" w:rsidRPr="009811B0" w14:paraId="52EBAD39" w14:textId="1A21408E" w:rsidTr="009811B0">
        <w:trPr>
          <w:tblCellSpacing w:w="15" w:type="dxa"/>
        </w:trPr>
        <w:tc>
          <w:tcPr>
            <w:tcW w:w="1106" w:type="dxa"/>
            <w:vAlign w:val="center"/>
            <w:hideMark/>
          </w:tcPr>
          <w:p w14:paraId="052C09D6" w14:textId="77777777" w:rsidR="009811B0" w:rsidRPr="009811B0" w:rsidRDefault="009811B0" w:rsidP="009811B0">
            <w:pPr>
              <w:jc w:val="both"/>
            </w:pPr>
            <w:r w:rsidRPr="009811B0">
              <w:rPr>
                <w:b/>
                <w:bCs/>
              </w:rPr>
              <w:t>10 minutes</w:t>
            </w:r>
          </w:p>
        </w:tc>
        <w:tc>
          <w:tcPr>
            <w:tcW w:w="2029" w:type="dxa"/>
            <w:vAlign w:val="center"/>
            <w:hideMark/>
          </w:tcPr>
          <w:p w14:paraId="0581F983" w14:textId="77777777" w:rsidR="009811B0" w:rsidRPr="009811B0" w:rsidRDefault="009811B0" w:rsidP="009811B0">
            <w:pPr>
              <w:jc w:val="both"/>
            </w:pPr>
            <w:r w:rsidRPr="009811B0">
              <w:rPr>
                <w:b/>
                <w:bCs/>
              </w:rPr>
              <w:t>Regional experience (LAC)</w:t>
            </w:r>
          </w:p>
        </w:tc>
        <w:tc>
          <w:tcPr>
            <w:tcW w:w="3512" w:type="dxa"/>
            <w:vAlign w:val="center"/>
            <w:hideMark/>
          </w:tcPr>
          <w:p w14:paraId="664DD4DA" w14:textId="4537DAE1" w:rsidR="009811B0" w:rsidRPr="009811B0" w:rsidRDefault="009811B0" w:rsidP="009811B0">
            <w:pPr>
              <w:jc w:val="both"/>
            </w:pPr>
            <w:r w:rsidRPr="009811B0">
              <w:t>Lessons from Latin America: implementation of the Model Protocol, advances and persistent challenges in investigations and prosecutions.</w:t>
            </w:r>
          </w:p>
        </w:tc>
        <w:tc>
          <w:tcPr>
            <w:tcW w:w="2553" w:type="dxa"/>
          </w:tcPr>
          <w:p w14:paraId="08B63F30" w14:textId="11CBD52B" w:rsidR="009811B0" w:rsidRPr="009811B0" w:rsidRDefault="009811B0" w:rsidP="00BC6547">
            <w:pPr>
              <w:jc w:val="center"/>
              <w:rPr>
                <w:b/>
                <w:bCs/>
              </w:rPr>
            </w:pPr>
          </w:p>
        </w:tc>
      </w:tr>
      <w:tr w:rsidR="009811B0" w:rsidRPr="009811B0" w14:paraId="42B0021C" w14:textId="77777777" w:rsidTr="009811B0">
        <w:trPr>
          <w:tblCellSpacing w:w="15" w:type="dxa"/>
        </w:trPr>
        <w:tc>
          <w:tcPr>
            <w:tcW w:w="1106" w:type="dxa"/>
            <w:vAlign w:val="center"/>
          </w:tcPr>
          <w:p w14:paraId="32A4831E" w14:textId="3E30B3C9" w:rsidR="009811B0" w:rsidRPr="009811B0" w:rsidRDefault="009811B0" w:rsidP="009811B0">
            <w:pPr>
              <w:jc w:val="both"/>
              <w:rPr>
                <w:b/>
                <w:bCs/>
              </w:rPr>
            </w:pPr>
            <w:r w:rsidRPr="009811B0">
              <w:rPr>
                <w:b/>
                <w:bCs/>
              </w:rPr>
              <w:t>1</w:t>
            </w:r>
            <w:r>
              <w:rPr>
                <w:b/>
                <w:bCs/>
              </w:rPr>
              <w:t>0</w:t>
            </w:r>
            <w:r w:rsidRPr="009811B0">
              <w:rPr>
                <w:b/>
                <w:bCs/>
              </w:rPr>
              <w:t xml:space="preserve"> minutes</w:t>
            </w:r>
          </w:p>
        </w:tc>
        <w:tc>
          <w:tcPr>
            <w:tcW w:w="2029" w:type="dxa"/>
            <w:vAlign w:val="center"/>
          </w:tcPr>
          <w:p w14:paraId="6C46DDE7" w14:textId="1F4A2A0C" w:rsidR="009811B0" w:rsidRPr="009811B0" w:rsidRDefault="009811B0" w:rsidP="009811B0">
            <w:pPr>
              <w:jc w:val="both"/>
              <w:rPr>
                <w:b/>
                <w:bCs/>
              </w:rPr>
            </w:pPr>
            <w:r w:rsidRPr="009811B0">
              <w:rPr>
                <w:b/>
                <w:bCs/>
              </w:rPr>
              <w:t>Other regional perspectives</w:t>
            </w:r>
          </w:p>
        </w:tc>
        <w:tc>
          <w:tcPr>
            <w:tcW w:w="3512" w:type="dxa"/>
            <w:vAlign w:val="center"/>
          </w:tcPr>
          <w:p w14:paraId="75BBD61C" w14:textId="27412709" w:rsidR="009811B0" w:rsidRPr="009811B0" w:rsidRDefault="009811B0" w:rsidP="009811B0">
            <w:pPr>
              <w:jc w:val="both"/>
            </w:pPr>
            <w:r w:rsidRPr="009811B0">
              <w:t xml:space="preserve">Advances and lessons learned from legal and institutional </w:t>
            </w:r>
            <w:r w:rsidRPr="009811B0">
              <w:lastRenderedPageBreak/>
              <w:t>responses to femicide across regions</w:t>
            </w:r>
          </w:p>
        </w:tc>
        <w:tc>
          <w:tcPr>
            <w:tcW w:w="2553" w:type="dxa"/>
          </w:tcPr>
          <w:p w14:paraId="4211DF4A" w14:textId="12925A8D" w:rsidR="009811B0" w:rsidRPr="009811B0" w:rsidRDefault="009811B0" w:rsidP="009811B0">
            <w:pPr>
              <w:jc w:val="center"/>
            </w:pPr>
          </w:p>
        </w:tc>
      </w:tr>
      <w:tr w:rsidR="009811B0" w:rsidRPr="009811B0" w14:paraId="15D82546" w14:textId="52A2BF5F" w:rsidTr="009811B0">
        <w:trPr>
          <w:tblCellSpacing w:w="15" w:type="dxa"/>
        </w:trPr>
        <w:tc>
          <w:tcPr>
            <w:tcW w:w="1106" w:type="dxa"/>
            <w:vAlign w:val="center"/>
            <w:hideMark/>
          </w:tcPr>
          <w:p w14:paraId="3661517A" w14:textId="57CF8B89" w:rsidR="009811B0" w:rsidRPr="009811B0" w:rsidRDefault="009811B0" w:rsidP="009811B0">
            <w:pPr>
              <w:jc w:val="both"/>
              <w:rPr>
                <w:b/>
                <w:bCs/>
              </w:rPr>
            </w:pPr>
            <w:r w:rsidRPr="009811B0">
              <w:rPr>
                <w:b/>
                <w:bCs/>
              </w:rPr>
              <w:lastRenderedPageBreak/>
              <w:t>1</w:t>
            </w:r>
            <w:r w:rsidR="00BC6547">
              <w:rPr>
                <w:b/>
                <w:bCs/>
              </w:rPr>
              <w:t xml:space="preserve">0 </w:t>
            </w:r>
            <w:r w:rsidRPr="009811B0">
              <w:rPr>
                <w:b/>
                <w:bCs/>
              </w:rPr>
              <w:t>minutes</w:t>
            </w:r>
          </w:p>
        </w:tc>
        <w:tc>
          <w:tcPr>
            <w:tcW w:w="2029" w:type="dxa"/>
            <w:vAlign w:val="center"/>
            <w:hideMark/>
          </w:tcPr>
          <w:p w14:paraId="4E7F9321" w14:textId="77777777" w:rsidR="009811B0" w:rsidRPr="009811B0" w:rsidRDefault="009811B0" w:rsidP="009811B0">
            <w:pPr>
              <w:jc w:val="both"/>
            </w:pPr>
            <w:r w:rsidRPr="009811B0">
              <w:rPr>
                <w:b/>
                <w:bCs/>
              </w:rPr>
              <w:t>Forensic and investigative standards</w:t>
            </w:r>
          </w:p>
        </w:tc>
        <w:tc>
          <w:tcPr>
            <w:tcW w:w="3512" w:type="dxa"/>
            <w:vAlign w:val="center"/>
            <w:hideMark/>
          </w:tcPr>
          <w:p w14:paraId="0F3C42B7" w14:textId="0C2D60DE" w:rsidR="009811B0" w:rsidRPr="009811B0" w:rsidRDefault="00BC6547" w:rsidP="009811B0">
            <w:pPr>
              <w:jc w:val="both"/>
            </w:pPr>
            <w:r w:rsidRPr="00BC6547">
              <w:t>The role of forensic practice, evidence and due diligence in femicide cases: the importance of protocols and investigative guidelines</w:t>
            </w:r>
          </w:p>
        </w:tc>
        <w:tc>
          <w:tcPr>
            <w:tcW w:w="2553" w:type="dxa"/>
          </w:tcPr>
          <w:p w14:paraId="48947C6C" w14:textId="13A87B9D" w:rsidR="009811B0" w:rsidRPr="009811B0" w:rsidRDefault="009811B0" w:rsidP="009811B0">
            <w:pPr>
              <w:jc w:val="center"/>
            </w:pPr>
          </w:p>
        </w:tc>
      </w:tr>
      <w:tr w:rsidR="009811B0" w:rsidRPr="009811B0" w14:paraId="1444D347" w14:textId="0448C2AD" w:rsidTr="009811B0">
        <w:trPr>
          <w:tblCellSpacing w:w="15" w:type="dxa"/>
        </w:trPr>
        <w:tc>
          <w:tcPr>
            <w:tcW w:w="1106" w:type="dxa"/>
            <w:vAlign w:val="center"/>
            <w:hideMark/>
          </w:tcPr>
          <w:p w14:paraId="57535FB1" w14:textId="77777777" w:rsidR="009811B0" w:rsidRPr="009811B0" w:rsidRDefault="009811B0" w:rsidP="009811B0">
            <w:pPr>
              <w:jc w:val="both"/>
            </w:pPr>
            <w:r w:rsidRPr="009811B0">
              <w:rPr>
                <w:b/>
                <w:bCs/>
              </w:rPr>
              <w:t>20 minutes</w:t>
            </w:r>
          </w:p>
        </w:tc>
        <w:tc>
          <w:tcPr>
            <w:tcW w:w="2029" w:type="dxa"/>
            <w:vAlign w:val="center"/>
            <w:hideMark/>
          </w:tcPr>
          <w:p w14:paraId="348AF87F" w14:textId="77777777" w:rsidR="009811B0" w:rsidRPr="009811B0" w:rsidRDefault="009811B0" w:rsidP="009811B0">
            <w:pPr>
              <w:jc w:val="both"/>
            </w:pPr>
            <w:r w:rsidRPr="009811B0">
              <w:rPr>
                <w:b/>
                <w:bCs/>
              </w:rPr>
              <w:t>Moderated panel discussion</w:t>
            </w:r>
          </w:p>
        </w:tc>
        <w:tc>
          <w:tcPr>
            <w:tcW w:w="3512" w:type="dxa"/>
            <w:vAlign w:val="center"/>
            <w:hideMark/>
          </w:tcPr>
          <w:p w14:paraId="526BFFE5" w14:textId="77777777" w:rsidR="009811B0" w:rsidRPr="009811B0" w:rsidRDefault="009811B0" w:rsidP="009811B0">
            <w:pPr>
              <w:jc w:val="both"/>
            </w:pPr>
            <w:r w:rsidRPr="009811B0">
              <w:t>Guided dialogue among panelists on strengths and limits of current investigative models, shared challenges across regions, and priorities for improving access to justice in femicide cases.</w:t>
            </w:r>
          </w:p>
        </w:tc>
        <w:tc>
          <w:tcPr>
            <w:tcW w:w="2553" w:type="dxa"/>
          </w:tcPr>
          <w:p w14:paraId="7661154D" w14:textId="77777777" w:rsidR="009811B0" w:rsidRPr="009811B0" w:rsidRDefault="009811B0" w:rsidP="009811B0">
            <w:pPr>
              <w:jc w:val="center"/>
            </w:pPr>
          </w:p>
        </w:tc>
      </w:tr>
      <w:tr w:rsidR="009811B0" w:rsidRPr="009811B0" w14:paraId="30609F0F" w14:textId="057B1C7E" w:rsidTr="009811B0">
        <w:trPr>
          <w:tblCellSpacing w:w="15" w:type="dxa"/>
        </w:trPr>
        <w:tc>
          <w:tcPr>
            <w:tcW w:w="1106" w:type="dxa"/>
            <w:vAlign w:val="center"/>
            <w:hideMark/>
          </w:tcPr>
          <w:p w14:paraId="2F6A1187" w14:textId="77777777" w:rsidR="009811B0" w:rsidRPr="009811B0" w:rsidRDefault="009811B0" w:rsidP="009811B0">
            <w:pPr>
              <w:jc w:val="both"/>
            </w:pPr>
            <w:r w:rsidRPr="009811B0">
              <w:rPr>
                <w:b/>
                <w:bCs/>
              </w:rPr>
              <w:t>10 minutes</w:t>
            </w:r>
          </w:p>
        </w:tc>
        <w:tc>
          <w:tcPr>
            <w:tcW w:w="2029" w:type="dxa"/>
            <w:vAlign w:val="center"/>
            <w:hideMark/>
          </w:tcPr>
          <w:p w14:paraId="132F2D81" w14:textId="77777777" w:rsidR="009811B0" w:rsidRPr="009811B0" w:rsidRDefault="009811B0" w:rsidP="009811B0">
            <w:pPr>
              <w:jc w:val="both"/>
            </w:pPr>
            <w:r w:rsidRPr="009811B0">
              <w:rPr>
                <w:b/>
                <w:bCs/>
              </w:rPr>
              <w:t>Interactive dialogue with the audience</w:t>
            </w:r>
          </w:p>
        </w:tc>
        <w:tc>
          <w:tcPr>
            <w:tcW w:w="3512" w:type="dxa"/>
            <w:vAlign w:val="center"/>
            <w:hideMark/>
          </w:tcPr>
          <w:p w14:paraId="13F16FF4" w14:textId="77777777" w:rsidR="009811B0" w:rsidRPr="009811B0" w:rsidRDefault="009811B0" w:rsidP="009811B0">
            <w:pPr>
              <w:jc w:val="both"/>
            </w:pPr>
            <w:r w:rsidRPr="009811B0">
              <w:t>Questions and reflections from participants, focusing on cross-regional learning and practical challenges.</w:t>
            </w:r>
          </w:p>
        </w:tc>
        <w:tc>
          <w:tcPr>
            <w:tcW w:w="2553" w:type="dxa"/>
          </w:tcPr>
          <w:p w14:paraId="5F00C871" w14:textId="77777777" w:rsidR="009811B0" w:rsidRPr="009811B0" w:rsidRDefault="009811B0" w:rsidP="009811B0">
            <w:pPr>
              <w:jc w:val="center"/>
            </w:pPr>
          </w:p>
        </w:tc>
      </w:tr>
      <w:tr w:rsidR="009811B0" w:rsidRPr="009811B0" w14:paraId="7D55ED4D" w14:textId="3C167982" w:rsidTr="009811B0">
        <w:trPr>
          <w:tblCellSpacing w:w="15" w:type="dxa"/>
        </w:trPr>
        <w:tc>
          <w:tcPr>
            <w:tcW w:w="1106" w:type="dxa"/>
            <w:vAlign w:val="center"/>
            <w:hideMark/>
          </w:tcPr>
          <w:p w14:paraId="05C2DDDE" w14:textId="77777777" w:rsidR="009811B0" w:rsidRPr="009811B0" w:rsidRDefault="009811B0" w:rsidP="009811B0">
            <w:pPr>
              <w:jc w:val="both"/>
            </w:pPr>
            <w:r w:rsidRPr="009811B0">
              <w:rPr>
                <w:b/>
                <w:bCs/>
              </w:rPr>
              <w:t>5 minutes</w:t>
            </w:r>
          </w:p>
        </w:tc>
        <w:tc>
          <w:tcPr>
            <w:tcW w:w="2029" w:type="dxa"/>
            <w:vAlign w:val="center"/>
            <w:hideMark/>
          </w:tcPr>
          <w:p w14:paraId="1FC631D7" w14:textId="77777777" w:rsidR="009811B0" w:rsidRPr="009811B0" w:rsidRDefault="009811B0" w:rsidP="009811B0">
            <w:pPr>
              <w:jc w:val="both"/>
            </w:pPr>
            <w:r w:rsidRPr="009811B0">
              <w:rPr>
                <w:b/>
                <w:bCs/>
              </w:rPr>
              <w:t>Closing remarks</w:t>
            </w:r>
          </w:p>
        </w:tc>
        <w:tc>
          <w:tcPr>
            <w:tcW w:w="3512" w:type="dxa"/>
            <w:vAlign w:val="center"/>
            <w:hideMark/>
          </w:tcPr>
          <w:p w14:paraId="1172D4AF" w14:textId="1BF23B19" w:rsidR="009811B0" w:rsidRPr="009811B0" w:rsidRDefault="009811B0" w:rsidP="009811B0">
            <w:pPr>
              <w:jc w:val="both"/>
            </w:pPr>
            <w:r w:rsidRPr="009811B0">
              <w:t xml:space="preserve">Key takeaways and next steps </w:t>
            </w:r>
          </w:p>
        </w:tc>
        <w:tc>
          <w:tcPr>
            <w:tcW w:w="2553" w:type="dxa"/>
          </w:tcPr>
          <w:p w14:paraId="45403DA1" w14:textId="419AE5D7" w:rsidR="009811B0" w:rsidRPr="00BC6547" w:rsidRDefault="009811B0" w:rsidP="009811B0">
            <w:pPr>
              <w:jc w:val="center"/>
              <w:rPr>
                <w:b/>
                <w:bCs/>
              </w:rPr>
            </w:pPr>
          </w:p>
        </w:tc>
      </w:tr>
    </w:tbl>
    <w:p w14:paraId="07F0C84F" w14:textId="77777777" w:rsidR="009811B0" w:rsidRDefault="009811B0" w:rsidP="005736AD">
      <w:pPr>
        <w:jc w:val="both"/>
      </w:pPr>
    </w:p>
    <w:sectPr w:rsidR="009811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793F"/>
    <w:multiLevelType w:val="hybridMultilevel"/>
    <w:tmpl w:val="28F49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2C1739"/>
    <w:multiLevelType w:val="hybridMultilevel"/>
    <w:tmpl w:val="3C70E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004F05"/>
    <w:multiLevelType w:val="hybridMultilevel"/>
    <w:tmpl w:val="5C42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B5"/>
    <w:rsid w:val="0002427D"/>
    <w:rsid w:val="0005122F"/>
    <w:rsid w:val="00076993"/>
    <w:rsid w:val="000940CC"/>
    <w:rsid w:val="00140094"/>
    <w:rsid w:val="001435EA"/>
    <w:rsid w:val="0015014D"/>
    <w:rsid w:val="0023579A"/>
    <w:rsid w:val="00262BEB"/>
    <w:rsid w:val="00283B97"/>
    <w:rsid w:val="002E6C60"/>
    <w:rsid w:val="00306E33"/>
    <w:rsid w:val="0033091A"/>
    <w:rsid w:val="00373F6D"/>
    <w:rsid w:val="003862C0"/>
    <w:rsid w:val="00387865"/>
    <w:rsid w:val="00391D2B"/>
    <w:rsid w:val="003976D0"/>
    <w:rsid w:val="003C5B7D"/>
    <w:rsid w:val="003F42C6"/>
    <w:rsid w:val="004A1B0C"/>
    <w:rsid w:val="004A53F1"/>
    <w:rsid w:val="004E4CD0"/>
    <w:rsid w:val="0053181E"/>
    <w:rsid w:val="00572BF1"/>
    <w:rsid w:val="005736AD"/>
    <w:rsid w:val="00581A1C"/>
    <w:rsid w:val="005F57CB"/>
    <w:rsid w:val="006118CC"/>
    <w:rsid w:val="00625197"/>
    <w:rsid w:val="00693102"/>
    <w:rsid w:val="007106CD"/>
    <w:rsid w:val="0074680E"/>
    <w:rsid w:val="0074683C"/>
    <w:rsid w:val="00785446"/>
    <w:rsid w:val="007C27FC"/>
    <w:rsid w:val="007C36DB"/>
    <w:rsid w:val="007C5866"/>
    <w:rsid w:val="0080284A"/>
    <w:rsid w:val="008304EB"/>
    <w:rsid w:val="00882794"/>
    <w:rsid w:val="00895CE6"/>
    <w:rsid w:val="0091313C"/>
    <w:rsid w:val="00913374"/>
    <w:rsid w:val="0091582C"/>
    <w:rsid w:val="00930ECD"/>
    <w:rsid w:val="009811B0"/>
    <w:rsid w:val="009C226C"/>
    <w:rsid w:val="009D1C32"/>
    <w:rsid w:val="00A41F3E"/>
    <w:rsid w:val="00A848B0"/>
    <w:rsid w:val="00B368C1"/>
    <w:rsid w:val="00B9077B"/>
    <w:rsid w:val="00BC6547"/>
    <w:rsid w:val="00BF7678"/>
    <w:rsid w:val="00CA43B8"/>
    <w:rsid w:val="00D11DB5"/>
    <w:rsid w:val="00D9631D"/>
    <w:rsid w:val="00DD02EC"/>
    <w:rsid w:val="00E17607"/>
    <w:rsid w:val="00E20B58"/>
    <w:rsid w:val="00E757B1"/>
    <w:rsid w:val="00EB16AF"/>
    <w:rsid w:val="00EC0EFD"/>
    <w:rsid w:val="00EE1F7B"/>
    <w:rsid w:val="00F11885"/>
    <w:rsid w:val="00F230FA"/>
    <w:rsid w:val="01383585"/>
    <w:rsid w:val="0D417BAA"/>
    <w:rsid w:val="3A20241A"/>
    <w:rsid w:val="74C39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5B8E"/>
  <w15:chartTrackingRefBased/>
  <w15:docId w15:val="{6A44E7A0-B793-490B-945E-D580255A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DB5"/>
  </w:style>
  <w:style w:type="paragraph" w:styleId="Ttulo1">
    <w:name w:val="heading 1"/>
    <w:basedOn w:val="Normal"/>
    <w:next w:val="Normal"/>
    <w:link w:val="Ttulo1Car"/>
    <w:uiPriority w:val="9"/>
    <w:qFormat/>
    <w:rsid w:val="00D11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1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1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1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1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1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1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1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1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1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1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1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1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1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1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1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1DB5"/>
    <w:rPr>
      <w:rFonts w:eastAsiaTheme="majorEastAsia" w:cstheme="majorBidi"/>
      <w:color w:val="272727" w:themeColor="text1" w:themeTint="D8"/>
    </w:rPr>
  </w:style>
  <w:style w:type="paragraph" w:styleId="Puesto">
    <w:name w:val="Title"/>
    <w:basedOn w:val="Normal"/>
    <w:next w:val="Normal"/>
    <w:link w:val="PuestoCar"/>
    <w:uiPriority w:val="10"/>
    <w:qFormat/>
    <w:rsid w:val="00D11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1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1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1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1DB5"/>
    <w:pPr>
      <w:spacing w:before="160"/>
      <w:jc w:val="center"/>
    </w:pPr>
    <w:rPr>
      <w:i/>
      <w:iCs/>
      <w:color w:val="404040" w:themeColor="text1" w:themeTint="BF"/>
    </w:rPr>
  </w:style>
  <w:style w:type="character" w:customStyle="1" w:styleId="CitaCar">
    <w:name w:val="Cita Car"/>
    <w:basedOn w:val="Fuentedeprrafopredeter"/>
    <w:link w:val="Cita"/>
    <w:uiPriority w:val="29"/>
    <w:rsid w:val="00D11DB5"/>
    <w:rPr>
      <w:i/>
      <w:iCs/>
      <w:color w:val="404040" w:themeColor="text1" w:themeTint="BF"/>
    </w:rPr>
  </w:style>
  <w:style w:type="paragraph" w:styleId="Prrafodelista">
    <w:name w:val="List Paragraph"/>
    <w:basedOn w:val="Normal"/>
    <w:uiPriority w:val="34"/>
    <w:qFormat/>
    <w:rsid w:val="00D11DB5"/>
    <w:pPr>
      <w:ind w:left="720"/>
      <w:contextualSpacing/>
    </w:pPr>
  </w:style>
  <w:style w:type="character" w:styleId="nfasisintenso">
    <w:name w:val="Intense Emphasis"/>
    <w:basedOn w:val="Fuentedeprrafopredeter"/>
    <w:uiPriority w:val="21"/>
    <w:qFormat/>
    <w:rsid w:val="00D11DB5"/>
    <w:rPr>
      <w:i/>
      <w:iCs/>
      <w:color w:val="0F4761" w:themeColor="accent1" w:themeShade="BF"/>
    </w:rPr>
  </w:style>
  <w:style w:type="paragraph" w:styleId="Citadestacada">
    <w:name w:val="Intense Quote"/>
    <w:basedOn w:val="Normal"/>
    <w:next w:val="Normal"/>
    <w:link w:val="CitadestacadaCar"/>
    <w:uiPriority w:val="30"/>
    <w:qFormat/>
    <w:rsid w:val="00D11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1DB5"/>
    <w:rPr>
      <w:i/>
      <w:iCs/>
      <w:color w:val="0F4761" w:themeColor="accent1" w:themeShade="BF"/>
    </w:rPr>
  </w:style>
  <w:style w:type="character" w:styleId="Referenciaintensa">
    <w:name w:val="Intense Reference"/>
    <w:basedOn w:val="Fuentedeprrafopredeter"/>
    <w:uiPriority w:val="32"/>
    <w:qFormat/>
    <w:rsid w:val="00D11DB5"/>
    <w:rPr>
      <w:b/>
      <w:bCs/>
      <w:smallCaps/>
      <w:color w:val="0F4761" w:themeColor="accent1" w:themeShade="BF"/>
      <w:spacing w:val="5"/>
    </w:rPr>
  </w:style>
  <w:style w:type="paragraph" w:styleId="Sinespaciado">
    <w:name w:val="No Spacing"/>
    <w:uiPriority w:val="1"/>
    <w:qFormat/>
    <w:rsid w:val="00D11DB5"/>
    <w:pPr>
      <w:spacing w:after="0" w:line="240" w:lineRule="auto"/>
    </w:pPr>
    <w:rPr>
      <w:kern w:val="0"/>
      <w:sz w:val="22"/>
      <w:szCs w:val="22"/>
      <w14:ligatures w14:val="none"/>
    </w:rPr>
  </w:style>
  <w:style w:type="character" w:styleId="Refdecomentario">
    <w:name w:val="annotation reference"/>
    <w:basedOn w:val="Fuentedeprrafopredeter"/>
    <w:uiPriority w:val="99"/>
    <w:semiHidden/>
    <w:unhideWhenUsed/>
    <w:rsid w:val="00D11DB5"/>
    <w:rPr>
      <w:sz w:val="16"/>
      <w:szCs w:val="16"/>
    </w:rPr>
  </w:style>
  <w:style w:type="paragraph" w:styleId="Textocomentario">
    <w:name w:val="annotation text"/>
    <w:basedOn w:val="Normal"/>
    <w:link w:val="TextocomentarioCar"/>
    <w:uiPriority w:val="99"/>
    <w:unhideWhenUsed/>
    <w:rsid w:val="00D11DB5"/>
    <w:pPr>
      <w:spacing w:line="240" w:lineRule="auto"/>
    </w:pPr>
    <w:rPr>
      <w:sz w:val="20"/>
      <w:szCs w:val="20"/>
    </w:rPr>
  </w:style>
  <w:style w:type="character" w:customStyle="1" w:styleId="TextocomentarioCar">
    <w:name w:val="Texto comentario Car"/>
    <w:basedOn w:val="Fuentedeprrafopredeter"/>
    <w:link w:val="Textocomentario"/>
    <w:uiPriority w:val="99"/>
    <w:rsid w:val="00D11DB5"/>
    <w:rPr>
      <w:sz w:val="20"/>
      <w:szCs w:val="20"/>
    </w:rPr>
  </w:style>
  <w:style w:type="paragraph" w:styleId="NormalWeb">
    <w:name w:val="Normal (Web)"/>
    <w:basedOn w:val="Normal"/>
    <w:uiPriority w:val="99"/>
    <w:semiHidden/>
    <w:unhideWhenUsed/>
    <w:rsid w:val="005736AD"/>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391D2B"/>
    <w:rPr>
      <w:b/>
      <w:bCs/>
    </w:rPr>
  </w:style>
  <w:style w:type="character" w:customStyle="1" w:styleId="AsuntodelcomentarioCar">
    <w:name w:val="Asunto del comentario Car"/>
    <w:basedOn w:val="TextocomentarioCar"/>
    <w:link w:val="Asuntodelcomentario"/>
    <w:uiPriority w:val="99"/>
    <w:semiHidden/>
    <w:rsid w:val="00391D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5FA9DF112984B83397B63F9C7D01F" ma:contentTypeVersion="17" ma:contentTypeDescription="Create a new document." ma:contentTypeScope="" ma:versionID="c8fa7c85bddb1082d52f23de90d791c4">
  <xsd:schema xmlns:xsd="http://www.w3.org/2001/XMLSchema" xmlns:xs="http://www.w3.org/2001/XMLSchema" xmlns:p="http://schemas.microsoft.com/office/2006/metadata/properties" xmlns:ns2="5df65c7d-46db-43ed-b73d-c513a82bf847" xmlns:ns3="5e45cb85-2c3c-4dd3-9f74-dd4c7b89e6b6" targetNamespace="http://schemas.microsoft.com/office/2006/metadata/properties" ma:root="true" ma:fieldsID="687d99bca592b28303b578c705b94c1e" ns2:_="" ns3:_="">
    <xsd:import namespace="5df65c7d-46db-43ed-b73d-c513a82bf847"/>
    <xsd:import namespace="5e45cb85-2c3c-4dd3-9f74-dd4c7b89e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65c7d-46db-43ed-b73d-c513a82bf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5cb85-2c3c-4dd3-9f74-dd4c7b89e6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38ea6d-f0ba-4861-a8a9-65c0449cf859}" ma:internalName="TaxCatchAll" ma:showField="CatchAllData" ma:web="5e45cb85-2c3c-4dd3-9f74-dd4c7b89e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45cb85-2c3c-4dd3-9f74-dd4c7b89e6b6" xsi:nil="true"/>
    <lcf76f155ced4ddcb4097134ff3c332f xmlns="5df65c7d-46db-43ed-b73d-c513a82bf8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B1817-EA9D-4994-BB6B-69B0C399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65c7d-46db-43ed-b73d-c513a82bf847"/>
    <ds:schemaRef ds:uri="5e45cb85-2c3c-4dd3-9f74-dd4c7b89e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CE10C-26D7-4E27-886F-7D29C3BCC7D4}">
  <ds:schemaRefs>
    <ds:schemaRef ds:uri="http://schemas.microsoft.com/office/2006/metadata/properties"/>
    <ds:schemaRef ds:uri="http://schemas.microsoft.com/office/infopath/2007/PartnerControls"/>
    <ds:schemaRef ds:uri="5e45cb85-2c3c-4dd3-9f74-dd4c7b89e6b6"/>
    <ds:schemaRef ds:uri="5df65c7d-46db-43ed-b73d-c513a82bf847"/>
  </ds:schemaRefs>
</ds:datastoreItem>
</file>

<file path=customXml/itemProps3.xml><?xml version="1.0" encoding="utf-8"?>
<ds:datastoreItem xmlns:ds="http://schemas.openxmlformats.org/officeDocument/2006/customXml" ds:itemID="{F5070E3B-7073-4E9C-9FEA-226732424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1278</Words>
  <Characters>7033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Florencia Sotelo</dc:creator>
  <cp:keywords/>
  <dc:description/>
  <cp:lastModifiedBy>Tania Cecilia Paz Gonzales</cp:lastModifiedBy>
  <cp:revision>2</cp:revision>
  <dcterms:created xsi:type="dcterms:W3CDTF">2026-01-19T20:56:00Z</dcterms:created>
  <dcterms:modified xsi:type="dcterms:W3CDTF">2026-01-19T20:56:00Z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0x010100D755FA9DF112984B83397B63F9C7D01F</vt:lpwstr>
  </property>
  <property fmtid="{D5CDD505-2E9C-101B-9397-08002B2CF9AE}" pid="3" name="MediaServiceImageTags">
    <vt:lpwstr/>
  </property>
  <property fmtid="{D5CDD505-2E9C-101B-9397-08002B2CF9AE}" pid="4" name="docLang">
    <vt:lpwstr>en</vt:lpwstr>
  </property>
</Properties>
</file>