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E85E" w14:textId="0BD8DC08" w:rsidR="00C97C3A" w:rsidRDefault="00C97C3A" w:rsidP="00C97C3A">
      <w:r w:rsidRPr="00C97C3A">
        <w:rPr>
          <w:b/>
          <w:bCs/>
        </w:rPr>
        <w:t xml:space="preserve">Addressing the </w:t>
      </w:r>
      <w:r>
        <w:rPr>
          <w:b/>
          <w:bCs/>
        </w:rPr>
        <w:t>laws and practices that criminalise women due to poverty and status worldwide</w:t>
      </w:r>
      <w:r w:rsidRPr="00C97C3A">
        <w:br/>
      </w:r>
      <w:r w:rsidRPr="00B07221">
        <w:rPr>
          <w:i/>
          <w:iCs/>
        </w:rPr>
        <w:t>S</w:t>
      </w:r>
      <w:r w:rsidR="007104AE">
        <w:rPr>
          <w:i/>
          <w:iCs/>
        </w:rPr>
        <w:t>ide event at the s</w:t>
      </w:r>
      <w:r w:rsidRPr="00C97C3A">
        <w:rPr>
          <w:i/>
          <w:iCs/>
        </w:rPr>
        <w:t>eventieth session of the Commission on the Status of Women (CSW70)</w:t>
      </w:r>
      <w:r w:rsidRPr="00C97C3A">
        <w:t xml:space="preserve"> </w:t>
      </w:r>
    </w:p>
    <w:p w14:paraId="6013F1EE" w14:textId="77777777" w:rsidR="00C274B0" w:rsidRDefault="00C274B0" w:rsidP="00C97C3A"/>
    <w:p w14:paraId="0BD67344" w14:textId="4D569086" w:rsidR="00891BAE" w:rsidRDefault="00891BAE" w:rsidP="004A6E74">
      <w:pPr>
        <w:spacing w:after="0" w:line="240" w:lineRule="auto"/>
        <w:jc w:val="right"/>
        <w:rPr>
          <w:b/>
          <w:bCs/>
          <w:i/>
          <w:iCs/>
          <w:sz w:val="20"/>
          <w:szCs w:val="20"/>
        </w:rPr>
      </w:pPr>
      <w:r w:rsidRPr="007D6005">
        <w:rPr>
          <w:b/>
          <w:bCs/>
          <w:i/>
          <w:iCs/>
          <w:sz w:val="20"/>
          <w:szCs w:val="20"/>
        </w:rPr>
        <w:t>“We must collectively resolve to reform practices that criminalise women for their socio-economic status and vulnerabilities</w:t>
      </w:r>
      <w:r w:rsidR="00892A19">
        <w:rPr>
          <w:b/>
          <w:bCs/>
          <w:i/>
          <w:iCs/>
          <w:sz w:val="20"/>
          <w:szCs w:val="20"/>
        </w:rPr>
        <w:t xml:space="preserve">, and </w:t>
      </w:r>
      <w:r w:rsidR="00892A19" w:rsidRPr="00892A19">
        <w:rPr>
          <w:b/>
          <w:bCs/>
          <w:i/>
          <w:iCs/>
          <w:sz w:val="20"/>
          <w:szCs w:val="20"/>
        </w:rPr>
        <w:t>we must ensure that the voices and experiences of women with lived experience are brought to the forefront of high-level policy discussions, including the upcoming Beijing +30 consultations and other high-level forums on gender equality.</w:t>
      </w:r>
      <w:r w:rsidRPr="007D6005">
        <w:rPr>
          <w:b/>
          <w:bCs/>
          <w:i/>
          <w:iCs/>
          <w:sz w:val="20"/>
          <w:szCs w:val="20"/>
        </w:rPr>
        <w:t>”</w:t>
      </w:r>
    </w:p>
    <w:p w14:paraId="438F1D43" w14:textId="00AFB9F2" w:rsidR="00D1720D" w:rsidRPr="007D6005" w:rsidRDefault="0032317B" w:rsidP="004A6E74">
      <w:pPr>
        <w:spacing w:after="0" w:line="240" w:lineRule="auto"/>
        <w:jc w:val="right"/>
        <w:rPr>
          <w:b/>
          <w:bCs/>
          <w:i/>
          <w:iCs/>
          <w:sz w:val="20"/>
          <w:szCs w:val="20"/>
        </w:rPr>
      </w:pPr>
      <w:r>
        <w:rPr>
          <w:b/>
          <w:bCs/>
          <w:i/>
          <w:iCs/>
          <w:sz w:val="20"/>
          <w:szCs w:val="20"/>
        </w:rPr>
        <w:t xml:space="preserve"> </w:t>
      </w:r>
    </w:p>
    <w:p w14:paraId="13B1DE57" w14:textId="73F4F136" w:rsidR="007D6005" w:rsidRPr="004A6E74" w:rsidRDefault="007D6005" w:rsidP="007D6005">
      <w:pPr>
        <w:spacing w:after="0" w:line="240" w:lineRule="auto"/>
        <w:jc w:val="right"/>
        <w:rPr>
          <w:sz w:val="20"/>
          <w:szCs w:val="20"/>
        </w:rPr>
      </w:pPr>
      <w:r w:rsidRPr="004A6E74">
        <w:rPr>
          <w:sz w:val="20"/>
          <w:szCs w:val="20"/>
        </w:rPr>
        <w:t>Mary Robinson</w:t>
      </w:r>
      <w:r w:rsidR="00D1720D">
        <w:rPr>
          <w:sz w:val="20"/>
          <w:szCs w:val="20"/>
        </w:rPr>
        <w:t xml:space="preserve">, </w:t>
      </w:r>
      <w:r w:rsidR="00D1720D" w:rsidRPr="00D1720D">
        <w:rPr>
          <w:sz w:val="20"/>
          <w:szCs w:val="20"/>
        </w:rPr>
        <w:t xml:space="preserve">former President of Ireland and former </w:t>
      </w:r>
      <w:r w:rsidR="00D1720D">
        <w:rPr>
          <w:sz w:val="20"/>
          <w:szCs w:val="20"/>
        </w:rPr>
        <w:t>UN</w:t>
      </w:r>
      <w:r w:rsidR="00D1720D" w:rsidRPr="00D1720D">
        <w:rPr>
          <w:sz w:val="20"/>
          <w:szCs w:val="20"/>
        </w:rPr>
        <w:t xml:space="preserve"> High Commissioner for Human Rights</w:t>
      </w:r>
      <w:r w:rsidR="00D1720D" w:rsidRPr="00D1720D">
        <w:rPr>
          <w:rStyle w:val="FootnoteReference"/>
          <w:sz w:val="20"/>
          <w:szCs w:val="20"/>
        </w:rPr>
        <w:footnoteReference w:id="1"/>
      </w:r>
      <w:r w:rsidRPr="00D1720D">
        <w:rPr>
          <w:sz w:val="20"/>
          <w:szCs w:val="20"/>
        </w:rPr>
        <w:t xml:space="preserve"> </w:t>
      </w:r>
    </w:p>
    <w:p w14:paraId="6B601662" w14:textId="77777777" w:rsidR="007D6005" w:rsidRDefault="007D6005" w:rsidP="00C97C3A">
      <w:pPr>
        <w:rPr>
          <w:b/>
          <w:bCs/>
        </w:rPr>
      </w:pPr>
    </w:p>
    <w:p w14:paraId="1A2C0BA1" w14:textId="77777777" w:rsidR="007104AE" w:rsidRPr="007104AE" w:rsidRDefault="007104AE" w:rsidP="007104AE">
      <w:pPr>
        <w:jc w:val="both"/>
      </w:pPr>
      <w:r w:rsidRPr="007104AE">
        <w:rPr>
          <w:b/>
          <w:bCs/>
        </w:rPr>
        <w:t xml:space="preserve">Organisers: </w:t>
      </w:r>
      <w:r w:rsidRPr="007104AE">
        <w:t>Penal Reform International, Women Beyond Walls, and Pathfinders for Peace, Just and Inclusive Societies</w:t>
      </w:r>
    </w:p>
    <w:p w14:paraId="26C6F1FC" w14:textId="77777777" w:rsidR="007104AE" w:rsidRPr="007104AE" w:rsidRDefault="007104AE" w:rsidP="007104AE">
      <w:pPr>
        <w:jc w:val="both"/>
        <w:rPr>
          <w:b/>
          <w:bCs/>
        </w:rPr>
      </w:pPr>
      <w:r w:rsidRPr="007104AE">
        <w:rPr>
          <w:b/>
          <w:bCs/>
        </w:rPr>
        <w:t xml:space="preserve">Co-sponsors: </w:t>
      </w:r>
      <w:r w:rsidRPr="007104AE">
        <w:t>Colombia, Thailand (to be confirmed), the United Nations Department of Peace Operations (UNDPO), the Office of the United Nations High Commissioner for Human Rights (OHCHR), the United Nations Office on Drugs and Crime (UNODC), the Thailand Institute of Justice (TIJ), and the United Nations Latin American Institute for the Prevention of Crime and the Treatment of Offenders (ILANUD), and The Cyrus R. Vance Center for International Justice.</w:t>
      </w:r>
    </w:p>
    <w:p w14:paraId="393E29DD" w14:textId="7AB5C5D2" w:rsidR="007104AE" w:rsidRPr="007104AE" w:rsidRDefault="007104AE" w:rsidP="00065921">
      <w:pPr>
        <w:spacing w:after="0" w:line="240" w:lineRule="auto"/>
        <w:jc w:val="both"/>
        <w:rPr>
          <w:b/>
          <w:bCs/>
        </w:rPr>
      </w:pPr>
      <w:r w:rsidRPr="007104AE">
        <w:rPr>
          <w:b/>
          <w:bCs/>
        </w:rPr>
        <w:t xml:space="preserve">When: </w:t>
      </w:r>
      <w:r w:rsidRPr="00065921">
        <w:t>9-13 March 2026 (to be confirmed)</w:t>
      </w:r>
    </w:p>
    <w:p w14:paraId="20D8CA8B" w14:textId="77777777" w:rsidR="007104AE" w:rsidRPr="00065921" w:rsidRDefault="007104AE" w:rsidP="00065921">
      <w:pPr>
        <w:spacing w:after="0" w:line="240" w:lineRule="auto"/>
        <w:jc w:val="both"/>
      </w:pPr>
      <w:r w:rsidRPr="007104AE">
        <w:rPr>
          <w:b/>
          <w:bCs/>
        </w:rPr>
        <w:t xml:space="preserve">Time: </w:t>
      </w:r>
      <w:r w:rsidRPr="00065921">
        <w:t>To be confirmed</w:t>
      </w:r>
    </w:p>
    <w:p w14:paraId="37DF065F" w14:textId="77777777" w:rsidR="007104AE" w:rsidRPr="007104AE" w:rsidRDefault="007104AE" w:rsidP="00065921">
      <w:pPr>
        <w:spacing w:after="0" w:line="240" w:lineRule="auto"/>
        <w:jc w:val="both"/>
        <w:rPr>
          <w:b/>
          <w:bCs/>
        </w:rPr>
      </w:pPr>
      <w:r w:rsidRPr="007104AE">
        <w:rPr>
          <w:b/>
          <w:bCs/>
        </w:rPr>
        <w:t xml:space="preserve">Venue: </w:t>
      </w:r>
      <w:r w:rsidRPr="00065921">
        <w:t>United Nations Headquarters, New York – (room to be confirmed)</w:t>
      </w:r>
    </w:p>
    <w:p w14:paraId="41EB4235" w14:textId="3EEB60D8" w:rsidR="007104AE" w:rsidRPr="00896D5C" w:rsidRDefault="007104AE" w:rsidP="00896D5C">
      <w:pPr>
        <w:jc w:val="both"/>
      </w:pPr>
      <w:r w:rsidRPr="007104AE">
        <w:rPr>
          <w:b/>
          <w:bCs/>
        </w:rPr>
        <w:t xml:space="preserve">Livestream: </w:t>
      </w:r>
      <w:r w:rsidRPr="00065921">
        <w:t>UN Web TV</w:t>
      </w:r>
    </w:p>
    <w:p w14:paraId="242DB0CF" w14:textId="3D1233A0" w:rsidR="00C97C3A" w:rsidRPr="00C97C3A" w:rsidRDefault="00C97C3A" w:rsidP="00C97C3A">
      <w:r w:rsidRPr="00C97C3A">
        <w:rPr>
          <w:b/>
          <w:bCs/>
        </w:rPr>
        <w:t>Context</w:t>
      </w:r>
    </w:p>
    <w:p w14:paraId="07E4B664" w14:textId="744D27B9" w:rsidR="00C97C3A" w:rsidRPr="00C97C3A" w:rsidRDefault="00C97C3A" w:rsidP="005C373D">
      <w:pPr>
        <w:jc w:val="both"/>
      </w:pPr>
      <w:r w:rsidRPr="00C97C3A">
        <w:t xml:space="preserve">Globally, </w:t>
      </w:r>
      <w:hyperlink r:id="rId8" w:history="1">
        <w:r w:rsidRPr="00C97C3A">
          <w:rPr>
            <w:rStyle w:val="Hyperlink"/>
          </w:rPr>
          <w:t>over 740,000 women and girls are currently held in detention, representing approximately 7% of the world’s prison population</w:t>
        </w:r>
      </w:hyperlink>
      <w:r w:rsidRPr="00C97C3A">
        <w:t xml:space="preserve">. Notably, women’s </w:t>
      </w:r>
      <w:r>
        <w:t>imprisonment</w:t>
      </w:r>
      <w:r w:rsidRPr="00C97C3A">
        <w:t xml:space="preserve"> is increasing at a faster rate than men’s (60% versus 22% since 2000). Around 19,000 children live in prison with their mothers</w:t>
      </w:r>
      <w:r w:rsidR="00107E7C">
        <w:t xml:space="preserve"> while 1.4 million are </w:t>
      </w:r>
      <w:r w:rsidR="0033362F">
        <w:t xml:space="preserve">have </w:t>
      </w:r>
      <w:r w:rsidR="00F35592">
        <w:t>a mother in prison</w:t>
      </w:r>
      <w:r w:rsidRPr="00C97C3A">
        <w:t xml:space="preserve">. </w:t>
      </w:r>
      <w:r w:rsidR="009A75BF">
        <w:t xml:space="preserve">Recent </w:t>
      </w:r>
      <w:hyperlink r:id="rId9" w:history="1">
        <w:r w:rsidR="00C14AAC" w:rsidRPr="00C14AAC">
          <w:rPr>
            <w:rStyle w:val="Hyperlink"/>
          </w:rPr>
          <w:t>research</w:t>
        </w:r>
      </w:hyperlink>
      <w:r w:rsidR="00C14AAC">
        <w:t xml:space="preserve">, </w:t>
      </w:r>
      <w:r w:rsidR="00C14AAC" w:rsidRPr="00C14AAC">
        <w:t>co-published by Penal Reform International, Women Beyond Walls, and the Global Campaign to Decriminalise Poverty and Status</w:t>
      </w:r>
      <w:r w:rsidR="00F356AD">
        <w:t>,</w:t>
      </w:r>
      <w:r w:rsidR="00C14AAC" w:rsidRPr="00C14AAC">
        <w:t xml:space="preserve"> and launched at the 69th session of the Commission on the Status of Women</w:t>
      </w:r>
      <w:r w:rsidR="00C14AAC">
        <w:t>,</w:t>
      </w:r>
      <w:r w:rsidR="00C14AAC" w:rsidRPr="00C14AAC">
        <w:t xml:space="preserve"> shows that </w:t>
      </w:r>
      <w:r w:rsidR="009A75BF">
        <w:t>m</w:t>
      </w:r>
      <w:r w:rsidRPr="00C97C3A">
        <w:t>ost women are imprisoned for non-violent offences, often linked to poverty, inability to pay fines or bail, and punitive drug policies.</w:t>
      </w:r>
    </w:p>
    <w:p w14:paraId="2CF882A4" w14:textId="6DF8A636" w:rsidR="00424D73" w:rsidRDefault="00424D73" w:rsidP="005C373D">
      <w:pPr>
        <w:jc w:val="both"/>
      </w:pPr>
      <w:r w:rsidRPr="00424D73">
        <w:t>Women’s vulnerability in the criminal justice system is compounded by poverty, marginalisation, and discrimination, affecting both them and their families</w:t>
      </w:r>
      <w:r w:rsidR="00D1289A">
        <w:t>, as highlighted by t</w:t>
      </w:r>
      <w:r w:rsidR="00D1289A" w:rsidRPr="00C97C3A">
        <w:t xml:space="preserve">he </w:t>
      </w:r>
      <w:hyperlink r:id="rId10" w:history="1">
        <w:r w:rsidR="00D1289A" w:rsidRPr="00C97C3A">
          <w:rPr>
            <w:rStyle w:val="Hyperlink"/>
          </w:rPr>
          <w:t>Justice for Women High-Level Group</w:t>
        </w:r>
      </w:hyperlink>
      <w:r w:rsidRPr="00424D73">
        <w:t>. Despite the Women, Peace and Security agenda recognising women’s key role in peacebuilding, implementation remains limited, requiring gender-sensitive justice reforms, stronger protection against gender-based violence, and greater participation in decision-making.</w:t>
      </w:r>
      <w:r>
        <w:t xml:space="preserve"> The</w:t>
      </w:r>
      <w:r w:rsidRPr="00424D73">
        <w:t xml:space="preserve"> </w:t>
      </w:r>
      <w:hyperlink r:id="rId11" w:history="1">
        <w:r w:rsidRPr="0038565E">
          <w:rPr>
            <w:rStyle w:val="Hyperlink"/>
          </w:rPr>
          <w:t>UN Security Council Resolution 1325</w:t>
        </w:r>
      </w:hyperlink>
      <w:r w:rsidRPr="0038565E">
        <w:t xml:space="preserve"> </w:t>
      </w:r>
      <w:r w:rsidRPr="00424D73">
        <w:t>urges States to address violence against women in detention, yet their specific challenges remain underrepresented in high-level forums.</w:t>
      </w:r>
    </w:p>
    <w:p w14:paraId="2C08C780" w14:textId="3FB1F0C8" w:rsidR="00C274B0" w:rsidRDefault="00572579" w:rsidP="00043972">
      <w:pPr>
        <w:jc w:val="both"/>
      </w:pPr>
      <w:r w:rsidRPr="00C97C3A">
        <w:t>The priority theme for</w:t>
      </w:r>
      <w:r>
        <w:t xml:space="preserve"> </w:t>
      </w:r>
      <w:r w:rsidR="00065E16">
        <w:t>the forthcoming</w:t>
      </w:r>
      <w:r w:rsidRPr="00C97C3A">
        <w:t xml:space="preserve"> CSW70</w:t>
      </w:r>
      <w:r>
        <w:t xml:space="preserve"> </w:t>
      </w:r>
      <w:r w:rsidRPr="00C97C3A">
        <w:t xml:space="preserve">is: </w:t>
      </w:r>
      <w:r w:rsidRPr="00C97C3A">
        <w:rPr>
          <w:b/>
          <w:bCs/>
          <w:i/>
          <w:iCs/>
        </w:rPr>
        <w:t>Ensuring and strengthening access to justice for all women and girls, including by promoting inclusive and equitable legal systems, eliminating discriminatory laws, policies, and practices, and addressing structural barriers</w:t>
      </w:r>
      <w:r w:rsidRPr="00C97C3A">
        <w:rPr>
          <w:i/>
          <w:iCs/>
        </w:rPr>
        <w:t>.</w:t>
      </w:r>
      <w:r w:rsidR="00065E16">
        <w:rPr>
          <w:i/>
          <w:iCs/>
        </w:rPr>
        <w:t xml:space="preserve"> </w:t>
      </w:r>
      <w:r w:rsidR="00065E16">
        <w:t>CSW70</w:t>
      </w:r>
      <w:r w:rsidR="00C97C3A" w:rsidRPr="00C97C3A">
        <w:t xml:space="preserve"> </w:t>
      </w:r>
      <w:r w:rsidR="00526F66">
        <w:t xml:space="preserve">therefore </w:t>
      </w:r>
      <w:r w:rsidR="00C97C3A" w:rsidRPr="00C97C3A">
        <w:t xml:space="preserve">offers a vital opportunity to address these issues, </w:t>
      </w:r>
      <w:r w:rsidR="00FF3023">
        <w:t xml:space="preserve">midway </w:t>
      </w:r>
      <w:r w:rsidR="00C97C3A" w:rsidRPr="00C97C3A">
        <w:t xml:space="preserve">through the 2030 Sustainable Development </w:t>
      </w:r>
      <w:r w:rsidR="00C97C3A" w:rsidRPr="00C97C3A">
        <w:lastRenderedPageBreak/>
        <w:t>Agenda, where progress on SDG 5 (Gender Equality) and SDG 16 (Peace, Justice and Strong Institutions) has been limited</w:t>
      </w:r>
      <w:r w:rsidR="00403806">
        <w:t xml:space="preserve"> and efforts are still needed to advance </w:t>
      </w:r>
      <w:r w:rsidR="00C97C3A" w:rsidRPr="00C97C3A">
        <w:t xml:space="preserve">the </w:t>
      </w:r>
      <w:r w:rsidR="00C97C3A" w:rsidRPr="00C97C3A">
        <w:rPr>
          <w:i/>
          <w:iCs/>
        </w:rPr>
        <w:t>United Nations Rules for the Treatment of Women Prisoners and Non-custodial Measures for Women Offenders</w:t>
      </w:r>
      <w:r w:rsidR="00C97C3A" w:rsidRPr="00C97C3A">
        <w:t xml:space="preserve"> (Bangkok Rules).</w:t>
      </w:r>
      <w:r w:rsidR="0025769F">
        <w:t xml:space="preserve"> Recognising structural inequalities, discriminatory laws, and the feminisation of poverty is essential for inclusive justice systems. Women in detention face intersecting forms of discrimination that often intensify over their lives. Integrating their experiences into CSW70 outcomes will advance SDG 5 and SDG 16, supporting global commitments to gender equality, human rights, and people-centred justice.</w:t>
      </w:r>
    </w:p>
    <w:p w14:paraId="40F0F229" w14:textId="5B85BC71" w:rsidR="007E2452" w:rsidRDefault="002B399C" w:rsidP="007E2452">
      <w:pPr>
        <w:jc w:val="both"/>
      </w:pPr>
      <w:r>
        <w:rPr>
          <w:b/>
          <w:bCs/>
        </w:rPr>
        <w:t>Programme</w:t>
      </w:r>
      <w:r w:rsidR="00F352D3" w:rsidRPr="00C97C3A">
        <w:br/>
      </w:r>
      <w:r w:rsidR="007E2452">
        <w:t>Speakers from Member States, UN entities, civil society, and women with lived experience will discuss key recommendations for gender-</w:t>
      </w:r>
      <w:r w:rsidR="001C2D36">
        <w:t>transformative</w:t>
      </w:r>
      <w:r w:rsidR="007E2452">
        <w:t>, rights-based justice reform. They will emphasise the need for robust, disaggregated data, participatory research methods centred on women’s expertise, and comprehensive legislative reforms, including the decriminalisation of offences disproportionately affecting women due to poverty, caregiving burdens, or social marginalisation. Reforms must align with international standards such as the UN Bangkok Rules and be reinforced by public awareness efforts to counter stigma, discrimination, and harmful gender norms.</w:t>
      </w:r>
    </w:p>
    <w:p w14:paraId="76DDF6AE" w14:textId="5D291635" w:rsidR="007E2452" w:rsidRDefault="007E2452" w:rsidP="007E2452">
      <w:pPr>
        <w:jc w:val="both"/>
      </w:pPr>
      <w:r>
        <w:t xml:space="preserve">The </w:t>
      </w:r>
      <w:r w:rsidR="00434854">
        <w:t>discussions</w:t>
      </w:r>
      <w:r>
        <w:t xml:space="preserve"> will highlight the role of community-led solutions, with civil society organisations</w:t>
      </w:r>
      <w:r w:rsidR="00434854">
        <w:t xml:space="preserve"> – </w:t>
      </w:r>
      <w:r>
        <w:t>particularly</w:t>
      </w:r>
      <w:r w:rsidR="00434854">
        <w:t xml:space="preserve"> </w:t>
      </w:r>
      <w:r>
        <w:t>those led by women with lived experience</w:t>
      </w:r>
      <w:r w:rsidR="00434854">
        <w:t xml:space="preserve"> – </w:t>
      </w:r>
      <w:r>
        <w:t xml:space="preserve">at the forefront of reform, research, and service delivery. Speakers will stress that women’s lived experiences must inform the design, implementation, and monitoring of justice and social protection measures. </w:t>
      </w:r>
      <w:r w:rsidR="005325C9">
        <w:t>The discussions</w:t>
      </w:r>
      <w:r>
        <w:t xml:space="preserve"> will also focus on expanding rights-based non-custodial measures and transitional interventions to mitigate harms while broader legal reforms are pursued, strengthening justice, gender equality, and the transformation of criminal justice systems in line with international commitments.</w:t>
      </w:r>
    </w:p>
    <w:p w14:paraId="0716A800" w14:textId="6385EDBC" w:rsidR="009D338E" w:rsidRDefault="007764A4" w:rsidP="007E2452">
      <w:pPr>
        <w:jc w:val="both"/>
        <w:rPr>
          <w:b/>
          <w:bCs/>
        </w:rPr>
      </w:pPr>
      <w:r>
        <w:rPr>
          <w:b/>
          <w:bCs/>
        </w:rPr>
        <w:t>Agenda</w:t>
      </w:r>
      <w:r w:rsidR="009D338E">
        <w:rPr>
          <w:b/>
          <w:bCs/>
        </w:rPr>
        <w:t xml:space="preserve"> (60 minutes)</w:t>
      </w:r>
    </w:p>
    <w:p w14:paraId="6BB77CF0" w14:textId="6868FF17" w:rsidR="009D338E" w:rsidRDefault="009D338E" w:rsidP="007E2452">
      <w:pPr>
        <w:jc w:val="both"/>
        <w:rPr>
          <w:i/>
          <w:iCs/>
        </w:rPr>
      </w:pPr>
      <w:r w:rsidRPr="009D338E">
        <w:rPr>
          <w:i/>
          <w:iCs/>
        </w:rPr>
        <w:t>(</w:t>
      </w:r>
      <w:r>
        <w:rPr>
          <w:i/>
          <w:iCs/>
        </w:rPr>
        <w:t>T</w:t>
      </w:r>
      <w:r w:rsidRPr="009D338E">
        <w:rPr>
          <w:i/>
          <w:iCs/>
        </w:rPr>
        <w:t>o be determined)</w:t>
      </w:r>
    </w:p>
    <w:p w14:paraId="216D2286" w14:textId="68A05A87" w:rsidR="006408F5" w:rsidRDefault="006408F5" w:rsidP="007E2452">
      <w:pPr>
        <w:jc w:val="both"/>
      </w:pPr>
      <w:r>
        <w:t>Opening remarks:</w:t>
      </w:r>
      <w:r w:rsidR="00ED7006">
        <w:t xml:space="preserve"> </w:t>
      </w:r>
    </w:p>
    <w:p w14:paraId="09D00B2B" w14:textId="524A26AC" w:rsidR="00E61686" w:rsidRDefault="00E61686" w:rsidP="00E61686">
      <w:pPr>
        <w:pStyle w:val="ListParagraph"/>
        <w:numPr>
          <w:ilvl w:val="0"/>
          <w:numId w:val="18"/>
        </w:numPr>
        <w:jc w:val="both"/>
      </w:pPr>
      <w:r>
        <w:t xml:space="preserve">Arlene B. Tickner, </w:t>
      </w:r>
      <w:r w:rsidRPr="00E61686">
        <w:t>Ambassador at-Large for Gender Issues and Feminist Global Policy</w:t>
      </w:r>
      <w:r>
        <w:t xml:space="preserve">, </w:t>
      </w:r>
      <w:r w:rsidRPr="00E61686">
        <w:t>Ministry of Foreign Affairs</w:t>
      </w:r>
      <w:r w:rsidR="00A857B6">
        <w:t>, Colombia</w:t>
      </w:r>
    </w:p>
    <w:p w14:paraId="7E14F858" w14:textId="1E668689" w:rsidR="006E077A" w:rsidRDefault="006E077A" w:rsidP="00E61686">
      <w:pPr>
        <w:pStyle w:val="ListParagraph"/>
        <w:numPr>
          <w:ilvl w:val="0"/>
          <w:numId w:val="18"/>
        </w:numPr>
        <w:jc w:val="both"/>
      </w:pPr>
      <w:r w:rsidRPr="006E077A">
        <w:t>Ambassador H.E. Mr. Cherdchai Chaivaivid, Ambassador and Permanent Representative of Thailand to the United Nations</w:t>
      </w:r>
      <w:r w:rsidR="00F25F0D">
        <w:t xml:space="preserve"> </w:t>
      </w:r>
      <w:r w:rsidR="00F25F0D">
        <w:t>(tbc)</w:t>
      </w:r>
    </w:p>
    <w:p w14:paraId="57244D72" w14:textId="01BA8927" w:rsidR="006408F5" w:rsidRDefault="00EE6304" w:rsidP="007E2452">
      <w:pPr>
        <w:jc w:val="both"/>
      </w:pPr>
      <w:r>
        <w:t>Speakers:</w:t>
      </w:r>
      <w:r w:rsidR="00A857B6">
        <w:t xml:space="preserve"> </w:t>
      </w:r>
    </w:p>
    <w:p w14:paraId="0A912185" w14:textId="5D17A35E" w:rsidR="000E43C3" w:rsidRDefault="00024B71" w:rsidP="000E43C3">
      <w:pPr>
        <w:pStyle w:val="ListParagraph"/>
        <w:numPr>
          <w:ilvl w:val="0"/>
          <w:numId w:val="18"/>
        </w:numPr>
        <w:jc w:val="both"/>
      </w:pPr>
      <w:r>
        <w:t>Fernando Marani</w:t>
      </w:r>
      <w:r w:rsidR="00A047E6">
        <w:t xml:space="preserve">, </w:t>
      </w:r>
      <w:r>
        <w:t>Program Director, Justice, Inclusion, and Equality, Pathfinders</w:t>
      </w:r>
      <w:r w:rsidR="00A047E6">
        <w:t xml:space="preserve"> </w:t>
      </w:r>
      <w:r w:rsidR="00A047E6" w:rsidRPr="00A047E6">
        <w:t>for Peaceful, Just and Inclusive Societies</w:t>
      </w:r>
      <w:r w:rsidR="00F25F0D">
        <w:t xml:space="preserve"> </w:t>
      </w:r>
      <w:r w:rsidR="00F25F0D">
        <w:t>(tbc)</w:t>
      </w:r>
    </w:p>
    <w:p w14:paraId="3CB245ED" w14:textId="17E7304F" w:rsidR="00977B7D" w:rsidRDefault="00977B7D" w:rsidP="000E43C3">
      <w:pPr>
        <w:pStyle w:val="ListParagraph"/>
        <w:numPr>
          <w:ilvl w:val="0"/>
          <w:numId w:val="18"/>
        </w:numPr>
        <w:jc w:val="both"/>
      </w:pPr>
      <w:r w:rsidRPr="00977B7D">
        <w:t>Phiset Sa-ardyen, Executive Director, Thailand Institute of Justice (TIJ)</w:t>
      </w:r>
      <w:r w:rsidR="00F25F0D">
        <w:t xml:space="preserve"> </w:t>
      </w:r>
      <w:r w:rsidR="00F25F0D">
        <w:t>(tbc)</w:t>
      </w:r>
    </w:p>
    <w:p w14:paraId="33AAE821" w14:textId="20702D93" w:rsidR="000E43C3" w:rsidRDefault="000E43C3" w:rsidP="000E43C3">
      <w:pPr>
        <w:pStyle w:val="ListParagraph"/>
        <w:numPr>
          <w:ilvl w:val="0"/>
          <w:numId w:val="18"/>
        </w:numPr>
        <w:jc w:val="both"/>
      </w:pPr>
      <w:r>
        <w:t xml:space="preserve">Sabrina Mahtani, Women Beyond Walls </w:t>
      </w:r>
    </w:p>
    <w:p w14:paraId="08434EBC" w14:textId="5D15440A" w:rsidR="006E077A" w:rsidRDefault="00977B7D" w:rsidP="000E43C3">
      <w:pPr>
        <w:pStyle w:val="ListParagraph"/>
        <w:numPr>
          <w:ilvl w:val="0"/>
          <w:numId w:val="18"/>
        </w:numPr>
        <w:jc w:val="both"/>
      </w:pPr>
      <w:r>
        <w:t>Women with lived experience of imprisonment</w:t>
      </w:r>
      <w:r w:rsidR="00F25F0D">
        <w:t xml:space="preserve"> </w:t>
      </w:r>
      <w:r w:rsidR="00F25F0D">
        <w:t>(tbc)</w:t>
      </w:r>
    </w:p>
    <w:p w14:paraId="1F03A051" w14:textId="74FE306A" w:rsidR="00EE6304" w:rsidRDefault="00EE6304" w:rsidP="007E2452">
      <w:pPr>
        <w:jc w:val="both"/>
      </w:pPr>
      <w:r>
        <w:t>Closing remarks:</w:t>
      </w:r>
    </w:p>
    <w:p w14:paraId="6F2C0244" w14:textId="20611AB8" w:rsidR="000F2CD1" w:rsidRDefault="00F25F0D" w:rsidP="000F2CD1">
      <w:pPr>
        <w:pStyle w:val="ListParagraph"/>
        <w:numPr>
          <w:ilvl w:val="0"/>
          <w:numId w:val="18"/>
        </w:numPr>
        <w:jc w:val="both"/>
      </w:pPr>
      <w:r>
        <w:t>Member State (tbc)</w:t>
      </w:r>
    </w:p>
    <w:p w14:paraId="13AE9C6F" w14:textId="6543A44B" w:rsidR="00EE6304" w:rsidRDefault="002C65EB" w:rsidP="007E2452">
      <w:pPr>
        <w:jc w:val="both"/>
      </w:pPr>
      <w:r>
        <w:t>Moderator:</w:t>
      </w:r>
    </w:p>
    <w:p w14:paraId="5862466A" w14:textId="68975E28" w:rsidR="000E43C3" w:rsidRDefault="000E43C3" w:rsidP="000E43C3">
      <w:pPr>
        <w:pStyle w:val="ListParagraph"/>
        <w:numPr>
          <w:ilvl w:val="0"/>
          <w:numId w:val="18"/>
        </w:numPr>
        <w:jc w:val="both"/>
      </w:pPr>
      <w:r>
        <w:t>Jerome Mangelinckx, Global Policy Manager, Penal Reform International</w:t>
      </w:r>
    </w:p>
    <w:p w14:paraId="594F8447" w14:textId="77777777" w:rsidR="002C65EB" w:rsidRPr="006408F5" w:rsidRDefault="002C65EB" w:rsidP="007E2452">
      <w:pPr>
        <w:jc w:val="both"/>
      </w:pPr>
    </w:p>
    <w:sectPr w:rsidR="002C65EB" w:rsidRPr="006408F5" w:rsidSect="00915CC4">
      <w:headerReference w:type="default" r:id="rId12"/>
      <w:pgSz w:w="11906" w:h="16838"/>
      <w:pgMar w:top="1701"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5D9A" w14:textId="77777777" w:rsidR="00E501CE" w:rsidRDefault="00E501CE" w:rsidP="00B07221">
      <w:pPr>
        <w:spacing w:after="0" w:line="240" w:lineRule="auto"/>
      </w:pPr>
      <w:r>
        <w:separator/>
      </w:r>
    </w:p>
  </w:endnote>
  <w:endnote w:type="continuationSeparator" w:id="0">
    <w:p w14:paraId="3B3A52FA" w14:textId="77777777" w:rsidR="00E501CE" w:rsidRDefault="00E501CE" w:rsidP="00B0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C813" w14:textId="77777777" w:rsidR="00E501CE" w:rsidRDefault="00E501CE" w:rsidP="00B07221">
      <w:pPr>
        <w:spacing w:after="0" w:line="240" w:lineRule="auto"/>
      </w:pPr>
      <w:r>
        <w:separator/>
      </w:r>
    </w:p>
  </w:footnote>
  <w:footnote w:type="continuationSeparator" w:id="0">
    <w:p w14:paraId="7E64752D" w14:textId="77777777" w:rsidR="00E501CE" w:rsidRDefault="00E501CE" w:rsidP="00B07221">
      <w:pPr>
        <w:spacing w:after="0" w:line="240" w:lineRule="auto"/>
      </w:pPr>
      <w:r>
        <w:continuationSeparator/>
      </w:r>
    </w:p>
  </w:footnote>
  <w:footnote w:id="1">
    <w:p w14:paraId="6C6A1233" w14:textId="0C0BB64A" w:rsidR="00D1720D" w:rsidRPr="0011089E" w:rsidRDefault="00D1720D" w:rsidP="00D1720D">
      <w:pPr>
        <w:pStyle w:val="FootnoteText"/>
        <w:jc w:val="both"/>
        <w:rPr>
          <w:sz w:val="18"/>
          <w:szCs w:val="18"/>
        </w:rPr>
      </w:pPr>
      <w:r w:rsidRPr="0011089E">
        <w:rPr>
          <w:rStyle w:val="FootnoteReference"/>
          <w:sz w:val="18"/>
          <w:szCs w:val="18"/>
        </w:rPr>
        <w:footnoteRef/>
      </w:r>
      <w:r w:rsidRPr="0011089E">
        <w:rPr>
          <w:sz w:val="18"/>
          <w:szCs w:val="18"/>
        </w:rPr>
        <w:t xml:space="preserve"> Foreword from Mary Robinson</w:t>
      </w:r>
      <w:bookmarkStart w:id="0" w:name="_Hlk209535312"/>
      <w:r w:rsidRPr="0011089E">
        <w:rPr>
          <w:sz w:val="18"/>
          <w:szCs w:val="18"/>
        </w:rPr>
        <w:t xml:space="preserve"> </w:t>
      </w:r>
      <w:bookmarkEnd w:id="0"/>
      <w:r w:rsidRPr="0011089E">
        <w:rPr>
          <w:sz w:val="18"/>
          <w:szCs w:val="18"/>
        </w:rPr>
        <w:t>in ‘From poverty to punishment: Examining laws and practices which criminalise women due to poverty or status worldwide’ (2025), co-published by Penal Reform International, Women Beyond Walls, and the Global Campaign to Decriminalise Poverty and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D137" w14:textId="57733B1E" w:rsidR="00B07221" w:rsidRDefault="00B07221">
    <w:pPr>
      <w:pStyle w:val="Header"/>
    </w:pPr>
    <w:r w:rsidRPr="00F42E16">
      <w:rPr>
        <w:noProof/>
      </w:rPr>
      <w:drawing>
        <wp:anchor distT="0" distB="0" distL="114300" distR="114300" simplePos="0" relativeHeight="251658243" behindDoc="1" locked="0" layoutInCell="1" allowOverlap="1" wp14:anchorId="4A6AAEAF" wp14:editId="07A8B281">
          <wp:simplePos x="0" y="0"/>
          <wp:positionH relativeFrom="margin">
            <wp:posOffset>232117</wp:posOffset>
          </wp:positionH>
          <wp:positionV relativeFrom="paragraph">
            <wp:posOffset>-329858</wp:posOffset>
          </wp:positionV>
          <wp:extent cx="681062" cy="681062"/>
          <wp:effectExtent l="0" t="0" r="5080" b="5080"/>
          <wp:wrapNone/>
          <wp:docPr id="1780295528" name="Picture 1" descr="A purpl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82431" name="Picture 1" descr="A purple and white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062" cy="6810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2E16">
      <w:rPr>
        <w:noProof/>
      </w:rPr>
      <w:drawing>
        <wp:anchor distT="0" distB="0" distL="114300" distR="114300" simplePos="0" relativeHeight="251658242" behindDoc="1" locked="0" layoutInCell="1" allowOverlap="1" wp14:anchorId="0FBD8F33" wp14:editId="30169B46">
          <wp:simplePos x="0" y="0"/>
          <wp:positionH relativeFrom="column">
            <wp:posOffset>1223597</wp:posOffset>
          </wp:positionH>
          <wp:positionV relativeFrom="paragraph">
            <wp:posOffset>-320333</wp:posOffset>
          </wp:positionV>
          <wp:extent cx="693420" cy="652780"/>
          <wp:effectExtent l="0" t="0" r="0" b="0"/>
          <wp:wrapNone/>
          <wp:docPr id="773837880" name="Picture 1" descr="Women Beyond Walls (@womenbeywall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3" descr="Women Beyond Walls (@womenbeywalls) / X"/>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3420" cy="652780"/>
                  </a:xfrm>
                  <a:prstGeom prst="rect">
                    <a:avLst/>
                  </a:prstGeom>
                  <a:noFill/>
                  <a:ln>
                    <a:noFill/>
                  </a:ln>
                </pic:spPr>
              </pic:pic>
            </a:graphicData>
          </a:graphic>
        </wp:anchor>
      </w:drawing>
    </w:r>
    <w:r>
      <w:rPr>
        <w:noProof/>
      </w:rPr>
      <w:drawing>
        <wp:anchor distT="0" distB="0" distL="114300" distR="114300" simplePos="0" relativeHeight="251658241" behindDoc="1" locked="0" layoutInCell="1" allowOverlap="1" wp14:anchorId="4BDC7322" wp14:editId="31B6285F">
          <wp:simplePos x="0" y="0"/>
          <wp:positionH relativeFrom="margin">
            <wp:posOffset>2274619</wp:posOffset>
          </wp:positionH>
          <wp:positionV relativeFrom="paragraph">
            <wp:posOffset>-277642</wp:posOffset>
          </wp:positionV>
          <wp:extent cx="1560195" cy="648970"/>
          <wp:effectExtent l="0" t="0" r="1905" b="0"/>
          <wp:wrapNone/>
          <wp:docPr id="466753697" name="Picture 1" descr="Decriminalise Poverty &amp; Status – Global coalition advocating to repeal laws  that target people based on poverty, status or their activ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riminalise Poverty &amp; Status – Global coalition advocating to repeal laws  that target people based on poverty, status or their activis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0195" cy="648970"/>
                  </a:xfrm>
                  <a:prstGeom prst="rect">
                    <a:avLst/>
                  </a:prstGeom>
                  <a:noFill/>
                  <a:ln>
                    <a:noFill/>
                  </a:ln>
                </pic:spPr>
              </pic:pic>
            </a:graphicData>
          </a:graphic>
        </wp:anchor>
      </w:drawing>
    </w:r>
    <w:r w:rsidRPr="00F42E16">
      <w:rPr>
        <w:noProof/>
      </w:rPr>
      <w:drawing>
        <wp:anchor distT="0" distB="0" distL="114300" distR="114300" simplePos="0" relativeHeight="251658240" behindDoc="1" locked="0" layoutInCell="1" allowOverlap="1" wp14:anchorId="1C66E098" wp14:editId="35A24764">
          <wp:simplePos x="0" y="0"/>
          <wp:positionH relativeFrom="column">
            <wp:posOffset>3938270</wp:posOffset>
          </wp:positionH>
          <wp:positionV relativeFrom="paragraph">
            <wp:posOffset>-90414</wp:posOffset>
          </wp:positionV>
          <wp:extent cx="1637030" cy="365125"/>
          <wp:effectExtent l="0" t="0" r="1270" b="0"/>
          <wp:wrapNone/>
          <wp:docPr id="17625535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76162" name="Graphic 443476162"/>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637030" cy="36512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31A"/>
    <w:multiLevelType w:val="multilevel"/>
    <w:tmpl w:val="7B54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06D67"/>
    <w:multiLevelType w:val="multilevel"/>
    <w:tmpl w:val="991A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30A4A"/>
    <w:multiLevelType w:val="multilevel"/>
    <w:tmpl w:val="C1D495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B016B"/>
    <w:multiLevelType w:val="hybridMultilevel"/>
    <w:tmpl w:val="7FD801D4"/>
    <w:lvl w:ilvl="0" w:tplc="106A2F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C3E3C"/>
    <w:multiLevelType w:val="multilevel"/>
    <w:tmpl w:val="780E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500C4"/>
    <w:multiLevelType w:val="multilevel"/>
    <w:tmpl w:val="B2249D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60C41"/>
    <w:multiLevelType w:val="multilevel"/>
    <w:tmpl w:val="C1D495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D45D5F"/>
    <w:multiLevelType w:val="multilevel"/>
    <w:tmpl w:val="BE7AC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2E428A"/>
    <w:multiLevelType w:val="multilevel"/>
    <w:tmpl w:val="C1D495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C26E4"/>
    <w:multiLevelType w:val="multilevel"/>
    <w:tmpl w:val="6624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305A9"/>
    <w:multiLevelType w:val="multilevel"/>
    <w:tmpl w:val="BF1A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73CA7"/>
    <w:multiLevelType w:val="multilevel"/>
    <w:tmpl w:val="3234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A4950"/>
    <w:multiLevelType w:val="multilevel"/>
    <w:tmpl w:val="92D4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E2255"/>
    <w:multiLevelType w:val="multilevel"/>
    <w:tmpl w:val="B914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214DB"/>
    <w:multiLevelType w:val="multilevel"/>
    <w:tmpl w:val="A1F4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A1481"/>
    <w:multiLevelType w:val="multilevel"/>
    <w:tmpl w:val="8374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047511"/>
    <w:multiLevelType w:val="multilevel"/>
    <w:tmpl w:val="B958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D7C4C"/>
    <w:multiLevelType w:val="multilevel"/>
    <w:tmpl w:val="C1D495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7661647">
    <w:abstractNumId w:val="7"/>
  </w:num>
  <w:num w:numId="2" w16cid:durableId="685979203">
    <w:abstractNumId w:val="16"/>
  </w:num>
  <w:num w:numId="3" w16cid:durableId="1113137688">
    <w:abstractNumId w:val="15"/>
  </w:num>
  <w:num w:numId="4" w16cid:durableId="849371746">
    <w:abstractNumId w:val="10"/>
  </w:num>
  <w:num w:numId="5" w16cid:durableId="950285220">
    <w:abstractNumId w:val="0"/>
  </w:num>
  <w:num w:numId="6" w16cid:durableId="1322731558">
    <w:abstractNumId w:val="14"/>
  </w:num>
  <w:num w:numId="7" w16cid:durableId="847721797">
    <w:abstractNumId w:val="9"/>
  </w:num>
  <w:num w:numId="8" w16cid:durableId="1976567599">
    <w:abstractNumId w:val="13"/>
  </w:num>
  <w:num w:numId="9" w16cid:durableId="1316641125">
    <w:abstractNumId w:val="11"/>
  </w:num>
  <w:num w:numId="10" w16cid:durableId="2061320266">
    <w:abstractNumId w:val="12"/>
  </w:num>
  <w:num w:numId="11" w16cid:durableId="1611206609">
    <w:abstractNumId w:val="4"/>
  </w:num>
  <w:num w:numId="12" w16cid:durableId="1152407009">
    <w:abstractNumId w:val="1"/>
  </w:num>
  <w:num w:numId="13" w16cid:durableId="480772791">
    <w:abstractNumId w:val="5"/>
  </w:num>
  <w:num w:numId="14" w16cid:durableId="1993875289">
    <w:abstractNumId w:val="2"/>
  </w:num>
  <w:num w:numId="15" w16cid:durableId="1405449397">
    <w:abstractNumId w:val="6"/>
  </w:num>
  <w:num w:numId="16" w16cid:durableId="995765483">
    <w:abstractNumId w:val="17"/>
  </w:num>
  <w:num w:numId="17" w16cid:durableId="1208419838">
    <w:abstractNumId w:val="8"/>
  </w:num>
  <w:num w:numId="18" w16cid:durableId="1860704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3A"/>
    <w:rsid w:val="00024B71"/>
    <w:rsid w:val="00025E62"/>
    <w:rsid w:val="000279B6"/>
    <w:rsid w:val="00033F2F"/>
    <w:rsid w:val="00043972"/>
    <w:rsid w:val="00051B0A"/>
    <w:rsid w:val="00065921"/>
    <w:rsid w:val="00065E16"/>
    <w:rsid w:val="00074812"/>
    <w:rsid w:val="00095AD9"/>
    <w:rsid w:val="000B5F7E"/>
    <w:rsid w:val="000E43C3"/>
    <w:rsid w:val="000F2CD1"/>
    <w:rsid w:val="00107773"/>
    <w:rsid w:val="00107E7C"/>
    <w:rsid w:val="0011089E"/>
    <w:rsid w:val="00117D6F"/>
    <w:rsid w:val="00131A4D"/>
    <w:rsid w:val="0014220D"/>
    <w:rsid w:val="00147DD7"/>
    <w:rsid w:val="00181412"/>
    <w:rsid w:val="001B00B4"/>
    <w:rsid w:val="001B73B2"/>
    <w:rsid w:val="001C2D36"/>
    <w:rsid w:val="001C3D97"/>
    <w:rsid w:val="001E28B2"/>
    <w:rsid w:val="001F0F3E"/>
    <w:rsid w:val="0022245F"/>
    <w:rsid w:val="00240C6B"/>
    <w:rsid w:val="00242C4C"/>
    <w:rsid w:val="0025769F"/>
    <w:rsid w:val="002850C8"/>
    <w:rsid w:val="002869E4"/>
    <w:rsid w:val="002A4E70"/>
    <w:rsid w:val="002B399C"/>
    <w:rsid w:val="002C65EB"/>
    <w:rsid w:val="002E23AA"/>
    <w:rsid w:val="002F5DF1"/>
    <w:rsid w:val="00300C2C"/>
    <w:rsid w:val="0032317B"/>
    <w:rsid w:val="0033362F"/>
    <w:rsid w:val="003355BF"/>
    <w:rsid w:val="0038388F"/>
    <w:rsid w:val="003E7347"/>
    <w:rsid w:val="00403806"/>
    <w:rsid w:val="00405B97"/>
    <w:rsid w:val="004073E2"/>
    <w:rsid w:val="00424D73"/>
    <w:rsid w:val="00434854"/>
    <w:rsid w:val="00445890"/>
    <w:rsid w:val="00493898"/>
    <w:rsid w:val="004A6E74"/>
    <w:rsid w:val="00526F66"/>
    <w:rsid w:val="005325C9"/>
    <w:rsid w:val="005337AF"/>
    <w:rsid w:val="00535142"/>
    <w:rsid w:val="00541B04"/>
    <w:rsid w:val="0057144B"/>
    <w:rsid w:val="00572579"/>
    <w:rsid w:val="00577961"/>
    <w:rsid w:val="0058434B"/>
    <w:rsid w:val="005C2DDC"/>
    <w:rsid w:val="005C373D"/>
    <w:rsid w:val="005E20FE"/>
    <w:rsid w:val="005E5327"/>
    <w:rsid w:val="00634099"/>
    <w:rsid w:val="00634983"/>
    <w:rsid w:val="006408F5"/>
    <w:rsid w:val="00641FCA"/>
    <w:rsid w:val="00661B30"/>
    <w:rsid w:val="006A3804"/>
    <w:rsid w:val="006B19B2"/>
    <w:rsid w:val="006B75CC"/>
    <w:rsid w:val="006E077A"/>
    <w:rsid w:val="007104AE"/>
    <w:rsid w:val="00710610"/>
    <w:rsid w:val="00711E4A"/>
    <w:rsid w:val="007548C9"/>
    <w:rsid w:val="00755B9B"/>
    <w:rsid w:val="007764A4"/>
    <w:rsid w:val="007A39A1"/>
    <w:rsid w:val="007B747E"/>
    <w:rsid w:val="007D6005"/>
    <w:rsid w:val="007D6E94"/>
    <w:rsid w:val="007E2452"/>
    <w:rsid w:val="007E7707"/>
    <w:rsid w:val="00802ED0"/>
    <w:rsid w:val="00851BA0"/>
    <w:rsid w:val="008634FC"/>
    <w:rsid w:val="008773A3"/>
    <w:rsid w:val="008915FC"/>
    <w:rsid w:val="00891BAE"/>
    <w:rsid w:val="00892A19"/>
    <w:rsid w:val="00896D5C"/>
    <w:rsid w:val="008C43BE"/>
    <w:rsid w:val="008D0C97"/>
    <w:rsid w:val="00915CC4"/>
    <w:rsid w:val="00972D1A"/>
    <w:rsid w:val="00977B7D"/>
    <w:rsid w:val="00993EDC"/>
    <w:rsid w:val="009A2076"/>
    <w:rsid w:val="009A75BF"/>
    <w:rsid w:val="009C386F"/>
    <w:rsid w:val="009D338E"/>
    <w:rsid w:val="00A047E6"/>
    <w:rsid w:val="00A37A27"/>
    <w:rsid w:val="00A42373"/>
    <w:rsid w:val="00A649E6"/>
    <w:rsid w:val="00A738D4"/>
    <w:rsid w:val="00A857B6"/>
    <w:rsid w:val="00AC1677"/>
    <w:rsid w:val="00AC3E89"/>
    <w:rsid w:val="00AE3F4A"/>
    <w:rsid w:val="00B07221"/>
    <w:rsid w:val="00B122CD"/>
    <w:rsid w:val="00B52C2F"/>
    <w:rsid w:val="00B706D6"/>
    <w:rsid w:val="00B71549"/>
    <w:rsid w:val="00B91F13"/>
    <w:rsid w:val="00B962D3"/>
    <w:rsid w:val="00BA7F61"/>
    <w:rsid w:val="00BB36A9"/>
    <w:rsid w:val="00BB7C17"/>
    <w:rsid w:val="00BE7E1A"/>
    <w:rsid w:val="00C036A6"/>
    <w:rsid w:val="00C04D13"/>
    <w:rsid w:val="00C14AAC"/>
    <w:rsid w:val="00C274B0"/>
    <w:rsid w:val="00C3119B"/>
    <w:rsid w:val="00C462C5"/>
    <w:rsid w:val="00C97C3A"/>
    <w:rsid w:val="00CC402D"/>
    <w:rsid w:val="00CD7B55"/>
    <w:rsid w:val="00CE43D2"/>
    <w:rsid w:val="00CF33A6"/>
    <w:rsid w:val="00D1289A"/>
    <w:rsid w:val="00D150E6"/>
    <w:rsid w:val="00D1720D"/>
    <w:rsid w:val="00D17E28"/>
    <w:rsid w:val="00D25080"/>
    <w:rsid w:val="00D83020"/>
    <w:rsid w:val="00D85DC3"/>
    <w:rsid w:val="00DB0EB7"/>
    <w:rsid w:val="00DC589B"/>
    <w:rsid w:val="00DD2D1D"/>
    <w:rsid w:val="00E36019"/>
    <w:rsid w:val="00E41BC7"/>
    <w:rsid w:val="00E501CE"/>
    <w:rsid w:val="00E61686"/>
    <w:rsid w:val="00E73F44"/>
    <w:rsid w:val="00E877E4"/>
    <w:rsid w:val="00EA40D6"/>
    <w:rsid w:val="00EA6765"/>
    <w:rsid w:val="00ED32A9"/>
    <w:rsid w:val="00ED7006"/>
    <w:rsid w:val="00EE6304"/>
    <w:rsid w:val="00EF79AC"/>
    <w:rsid w:val="00F06129"/>
    <w:rsid w:val="00F25F0D"/>
    <w:rsid w:val="00F352D3"/>
    <w:rsid w:val="00F35592"/>
    <w:rsid w:val="00F356AD"/>
    <w:rsid w:val="00F5151B"/>
    <w:rsid w:val="00F51DC3"/>
    <w:rsid w:val="00F538C7"/>
    <w:rsid w:val="00F60A10"/>
    <w:rsid w:val="00F722EA"/>
    <w:rsid w:val="00FC3EB5"/>
    <w:rsid w:val="00FD5D32"/>
    <w:rsid w:val="00FF3023"/>
    <w:rsid w:val="00FF3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4AF9"/>
  <w15:chartTrackingRefBased/>
  <w15:docId w15:val="{298186FC-B98D-4A3B-A447-499012A1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3A"/>
    <w:rPr>
      <w:rFonts w:eastAsiaTheme="majorEastAsia" w:cstheme="majorBidi"/>
      <w:color w:val="272727" w:themeColor="text1" w:themeTint="D8"/>
    </w:rPr>
  </w:style>
  <w:style w:type="paragraph" w:styleId="Title">
    <w:name w:val="Title"/>
    <w:basedOn w:val="Normal"/>
    <w:next w:val="Normal"/>
    <w:link w:val="TitleChar"/>
    <w:uiPriority w:val="10"/>
    <w:qFormat/>
    <w:rsid w:val="00C97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3A"/>
    <w:pPr>
      <w:spacing w:before="160"/>
      <w:jc w:val="center"/>
    </w:pPr>
    <w:rPr>
      <w:i/>
      <w:iCs/>
      <w:color w:val="404040" w:themeColor="text1" w:themeTint="BF"/>
    </w:rPr>
  </w:style>
  <w:style w:type="character" w:customStyle="1" w:styleId="QuoteChar">
    <w:name w:val="Quote Char"/>
    <w:basedOn w:val="DefaultParagraphFont"/>
    <w:link w:val="Quote"/>
    <w:uiPriority w:val="29"/>
    <w:rsid w:val="00C97C3A"/>
    <w:rPr>
      <w:i/>
      <w:iCs/>
      <w:color w:val="404040" w:themeColor="text1" w:themeTint="BF"/>
    </w:rPr>
  </w:style>
  <w:style w:type="paragraph" w:styleId="ListParagraph">
    <w:name w:val="List Paragraph"/>
    <w:basedOn w:val="Normal"/>
    <w:uiPriority w:val="34"/>
    <w:qFormat/>
    <w:rsid w:val="00C97C3A"/>
    <w:pPr>
      <w:ind w:left="720"/>
      <w:contextualSpacing/>
    </w:pPr>
  </w:style>
  <w:style w:type="character" w:styleId="IntenseEmphasis">
    <w:name w:val="Intense Emphasis"/>
    <w:basedOn w:val="DefaultParagraphFont"/>
    <w:uiPriority w:val="21"/>
    <w:qFormat/>
    <w:rsid w:val="00C97C3A"/>
    <w:rPr>
      <w:i/>
      <w:iCs/>
      <w:color w:val="0F4761" w:themeColor="accent1" w:themeShade="BF"/>
    </w:rPr>
  </w:style>
  <w:style w:type="paragraph" w:styleId="IntenseQuote">
    <w:name w:val="Intense Quote"/>
    <w:basedOn w:val="Normal"/>
    <w:next w:val="Normal"/>
    <w:link w:val="IntenseQuoteChar"/>
    <w:uiPriority w:val="30"/>
    <w:qFormat/>
    <w:rsid w:val="00C97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3A"/>
    <w:rPr>
      <w:i/>
      <w:iCs/>
      <w:color w:val="0F4761" w:themeColor="accent1" w:themeShade="BF"/>
    </w:rPr>
  </w:style>
  <w:style w:type="character" w:styleId="IntenseReference">
    <w:name w:val="Intense Reference"/>
    <w:basedOn w:val="DefaultParagraphFont"/>
    <w:uiPriority w:val="32"/>
    <w:qFormat/>
    <w:rsid w:val="00C97C3A"/>
    <w:rPr>
      <w:b/>
      <w:bCs/>
      <w:smallCaps/>
      <w:color w:val="0F4761" w:themeColor="accent1" w:themeShade="BF"/>
      <w:spacing w:val="5"/>
    </w:rPr>
  </w:style>
  <w:style w:type="character" w:styleId="Hyperlink">
    <w:name w:val="Hyperlink"/>
    <w:basedOn w:val="DefaultParagraphFont"/>
    <w:uiPriority w:val="99"/>
    <w:unhideWhenUsed/>
    <w:rsid w:val="00C97C3A"/>
    <w:rPr>
      <w:color w:val="467886" w:themeColor="hyperlink"/>
      <w:u w:val="single"/>
    </w:rPr>
  </w:style>
  <w:style w:type="character" w:styleId="UnresolvedMention">
    <w:name w:val="Unresolved Mention"/>
    <w:basedOn w:val="DefaultParagraphFont"/>
    <w:uiPriority w:val="99"/>
    <w:semiHidden/>
    <w:unhideWhenUsed/>
    <w:rsid w:val="00C97C3A"/>
    <w:rPr>
      <w:color w:val="605E5C"/>
      <w:shd w:val="clear" w:color="auto" w:fill="E1DFDD"/>
    </w:rPr>
  </w:style>
  <w:style w:type="paragraph" w:styleId="Header">
    <w:name w:val="header"/>
    <w:basedOn w:val="Normal"/>
    <w:link w:val="HeaderChar"/>
    <w:uiPriority w:val="99"/>
    <w:unhideWhenUsed/>
    <w:rsid w:val="00B07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221"/>
  </w:style>
  <w:style w:type="paragraph" w:styleId="Footer">
    <w:name w:val="footer"/>
    <w:basedOn w:val="Normal"/>
    <w:link w:val="FooterChar"/>
    <w:uiPriority w:val="99"/>
    <w:unhideWhenUsed/>
    <w:rsid w:val="00B07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221"/>
  </w:style>
  <w:style w:type="character" w:styleId="CommentReference">
    <w:name w:val="annotation reference"/>
    <w:basedOn w:val="DefaultParagraphFont"/>
    <w:uiPriority w:val="99"/>
    <w:semiHidden/>
    <w:unhideWhenUsed/>
    <w:rsid w:val="008C43BE"/>
    <w:rPr>
      <w:sz w:val="16"/>
      <w:szCs w:val="16"/>
    </w:rPr>
  </w:style>
  <w:style w:type="paragraph" w:styleId="CommentText">
    <w:name w:val="annotation text"/>
    <w:basedOn w:val="Normal"/>
    <w:link w:val="CommentTextChar"/>
    <w:uiPriority w:val="99"/>
    <w:unhideWhenUsed/>
    <w:rsid w:val="008C43BE"/>
    <w:pPr>
      <w:spacing w:line="240" w:lineRule="auto"/>
    </w:pPr>
    <w:rPr>
      <w:sz w:val="20"/>
      <w:szCs w:val="20"/>
    </w:rPr>
  </w:style>
  <w:style w:type="character" w:customStyle="1" w:styleId="CommentTextChar">
    <w:name w:val="Comment Text Char"/>
    <w:basedOn w:val="DefaultParagraphFont"/>
    <w:link w:val="CommentText"/>
    <w:uiPriority w:val="99"/>
    <w:rsid w:val="008C43BE"/>
    <w:rPr>
      <w:sz w:val="20"/>
      <w:szCs w:val="20"/>
    </w:rPr>
  </w:style>
  <w:style w:type="paragraph" w:styleId="CommentSubject">
    <w:name w:val="annotation subject"/>
    <w:basedOn w:val="CommentText"/>
    <w:next w:val="CommentText"/>
    <w:link w:val="CommentSubjectChar"/>
    <w:uiPriority w:val="99"/>
    <w:semiHidden/>
    <w:unhideWhenUsed/>
    <w:rsid w:val="008C43BE"/>
    <w:rPr>
      <w:b/>
      <w:bCs/>
    </w:rPr>
  </w:style>
  <w:style w:type="character" w:customStyle="1" w:styleId="CommentSubjectChar">
    <w:name w:val="Comment Subject Char"/>
    <w:basedOn w:val="CommentTextChar"/>
    <w:link w:val="CommentSubject"/>
    <w:uiPriority w:val="99"/>
    <w:semiHidden/>
    <w:rsid w:val="008C43BE"/>
    <w:rPr>
      <w:b/>
      <w:bCs/>
      <w:sz w:val="20"/>
      <w:szCs w:val="20"/>
    </w:rPr>
  </w:style>
  <w:style w:type="paragraph" w:styleId="Revision">
    <w:name w:val="Revision"/>
    <w:hidden/>
    <w:uiPriority w:val="99"/>
    <w:semiHidden/>
    <w:rsid w:val="00147DD7"/>
    <w:pPr>
      <w:spacing w:after="0" w:line="240" w:lineRule="auto"/>
    </w:pPr>
  </w:style>
  <w:style w:type="paragraph" w:styleId="FootnoteText">
    <w:name w:val="footnote text"/>
    <w:basedOn w:val="Normal"/>
    <w:link w:val="FootnoteTextChar"/>
    <w:uiPriority w:val="99"/>
    <w:semiHidden/>
    <w:unhideWhenUsed/>
    <w:rsid w:val="007D60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005"/>
    <w:rPr>
      <w:sz w:val="20"/>
      <w:szCs w:val="20"/>
    </w:rPr>
  </w:style>
  <w:style w:type="character" w:styleId="FootnoteReference">
    <w:name w:val="footnote reference"/>
    <w:basedOn w:val="DefaultParagraphFont"/>
    <w:uiPriority w:val="99"/>
    <w:semiHidden/>
    <w:unhideWhenUsed/>
    <w:rsid w:val="007D60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610621">
      <w:bodyDiv w:val="1"/>
      <w:marLeft w:val="0"/>
      <w:marRight w:val="0"/>
      <w:marTop w:val="0"/>
      <w:marBottom w:val="0"/>
      <w:divBdr>
        <w:top w:val="none" w:sz="0" w:space="0" w:color="auto"/>
        <w:left w:val="none" w:sz="0" w:space="0" w:color="auto"/>
        <w:bottom w:val="none" w:sz="0" w:space="0" w:color="auto"/>
        <w:right w:val="none" w:sz="0" w:space="0" w:color="auto"/>
      </w:divBdr>
    </w:div>
    <w:div w:id="1718703232">
      <w:bodyDiv w:val="1"/>
      <w:marLeft w:val="0"/>
      <w:marRight w:val="0"/>
      <w:marTop w:val="0"/>
      <w:marBottom w:val="0"/>
      <w:divBdr>
        <w:top w:val="none" w:sz="0" w:space="0" w:color="auto"/>
        <w:left w:val="none" w:sz="0" w:space="0" w:color="auto"/>
        <w:bottom w:val="none" w:sz="0" w:space="0" w:color="auto"/>
        <w:right w:val="none" w:sz="0" w:space="0" w:color="auto"/>
      </w:divBdr>
    </w:div>
    <w:div w:id="1992638114">
      <w:bodyDiv w:val="1"/>
      <w:marLeft w:val="0"/>
      <w:marRight w:val="0"/>
      <w:marTop w:val="0"/>
      <w:marBottom w:val="0"/>
      <w:divBdr>
        <w:top w:val="none" w:sz="0" w:space="0" w:color="auto"/>
        <w:left w:val="none" w:sz="0" w:space="0" w:color="auto"/>
        <w:bottom w:val="none" w:sz="0" w:space="0" w:color="auto"/>
        <w:right w:val="none" w:sz="0" w:space="0" w:color="auto"/>
      </w:divBdr>
    </w:div>
    <w:div w:id="2081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sonstudies.org/highest-to-lowest/female-prisoners?field_region_taxonomy_tid=A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uritycouncilreport.org/atf/cf/%7B65BFCF9B-6D27-4E9C-8CD3-CF6E4FF96FF9%7D/WPS%20SRES1325%20.pdf" TargetMode="External"/><Relationship Id="rId5" Type="http://schemas.openxmlformats.org/officeDocument/2006/relationships/webSettings" Target="webSettings.xml"/><Relationship Id="rId10" Type="http://schemas.openxmlformats.org/officeDocument/2006/relationships/hyperlink" Target="https://www.idlo.int/sites/default/files/pdfs/publications/Justice-for-Women_Full-Report-English.pdf" TargetMode="External"/><Relationship Id="rId4" Type="http://schemas.openxmlformats.org/officeDocument/2006/relationships/settings" Target="settings.xml"/><Relationship Id="rId9" Type="http://schemas.openxmlformats.org/officeDocument/2006/relationships/hyperlink" Target="https://www.penalreform.org/resource/from-poverty-to-punish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FD0AC-2A9A-411A-8CB2-0A0728D5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Links>
    <vt:vector size="36" baseType="variant">
      <vt:variant>
        <vt:i4>458780</vt:i4>
      </vt:variant>
      <vt:variant>
        <vt:i4>15</vt:i4>
      </vt:variant>
      <vt:variant>
        <vt:i4>0</vt:i4>
      </vt:variant>
      <vt:variant>
        <vt:i4>5</vt:i4>
      </vt:variant>
      <vt:variant>
        <vt:lpwstr>https://www.ohchr.org/en/documents/thematic-reports/ahrc5931-accelerating-efforts-eliminate-all-forms-violence-against-women</vt:lpwstr>
      </vt:variant>
      <vt:variant>
        <vt:lpwstr/>
      </vt:variant>
      <vt:variant>
        <vt:i4>3014761</vt:i4>
      </vt:variant>
      <vt:variant>
        <vt:i4>12</vt:i4>
      </vt:variant>
      <vt:variant>
        <vt:i4>0</vt:i4>
      </vt:variant>
      <vt:variant>
        <vt:i4>5</vt:i4>
      </vt:variant>
      <vt:variant>
        <vt:lpwstr>https://www.ohchr.org/en/hr-bodies/hrc/regular-sessions/session53/res-dec-stat</vt:lpwstr>
      </vt:variant>
      <vt:variant>
        <vt:lpwstr/>
      </vt:variant>
      <vt:variant>
        <vt:i4>5636114</vt:i4>
      </vt:variant>
      <vt:variant>
        <vt:i4>9</vt:i4>
      </vt:variant>
      <vt:variant>
        <vt:i4>0</vt:i4>
      </vt:variant>
      <vt:variant>
        <vt:i4>5</vt:i4>
      </vt:variant>
      <vt:variant>
        <vt:lpwstr>https://www.securitycouncilreport.org/atf/cf/%7B65BFCF9B-6D27-4E9C-8CD3-CF6E4FF96FF9%7D/WPS SRES1325 .pdf</vt:lpwstr>
      </vt:variant>
      <vt:variant>
        <vt:lpwstr/>
      </vt:variant>
      <vt:variant>
        <vt:i4>4325487</vt:i4>
      </vt:variant>
      <vt:variant>
        <vt:i4>6</vt:i4>
      </vt:variant>
      <vt:variant>
        <vt:i4>0</vt:i4>
      </vt:variant>
      <vt:variant>
        <vt:i4>5</vt:i4>
      </vt:variant>
      <vt:variant>
        <vt:lpwstr>https://www.idlo.int/sites/default/files/pdfs/publications/Justice-for-Women_Full-Report-English.pdf</vt:lpwstr>
      </vt:variant>
      <vt:variant>
        <vt:lpwstr/>
      </vt:variant>
      <vt:variant>
        <vt:i4>1900619</vt:i4>
      </vt:variant>
      <vt:variant>
        <vt:i4>3</vt:i4>
      </vt:variant>
      <vt:variant>
        <vt:i4>0</vt:i4>
      </vt:variant>
      <vt:variant>
        <vt:i4>5</vt:i4>
      </vt:variant>
      <vt:variant>
        <vt:lpwstr>https://www.penalreform.org/resource/from-poverty-to-punishment/</vt:lpwstr>
      </vt:variant>
      <vt:variant>
        <vt:lpwstr/>
      </vt:variant>
      <vt:variant>
        <vt:i4>1048611</vt:i4>
      </vt:variant>
      <vt:variant>
        <vt:i4>0</vt:i4>
      </vt:variant>
      <vt:variant>
        <vt:i4>0</vt:i4>
      </vt:variant>
      <vt:variant>
        <vt:i4>5</vt:i4>
      </vt:variant>
      <vt:variant>
        <vt:lpwstr>https://www.prisonstudies.org/highest-to-lowest/female-prisoners?field_region_taxonomy_tid=All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Mangelinckx</dc:creator>
  <cp:keywords/>
  <dc:description/>
  <cp:lastModifiedBy>Jerome Mangelinckx</cp:lastModifiedBy>
  <cp:revision>44</cp:revision>
  <dcterms:created xsi:type="dcterms:W3CDTF">2025-12-04T09:01:00Z</dcterms:created>
  <dcterms:modified xsi:type="dcterms:W3CDTF">2025-12-08T09:35:00Z</dcterms:modified>
</cp:coreProperties>
</file>