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15C0" w14:textId="6158696D" w:rsidR="00716D3E" w:rsidRPr="00657856" w:rsidRDefault="00716D3E" w:rsidP="00710E87">
      <w:pPr>
        <w:jc w:val="center"/>
        <w:rPr>
          <w:i/>
          <w:iCs/>
          <w:sz w:val="26"/>
          <w:szCs w:val="26"/>
        </w:rPr>
      </w:pPr>
      <w:r w:rsidRPr="00657856">
        <w:rPr>
          <w:i/>
          <w:iCs/>
          <w:sz w:val="26"/>
          <w:szCs w:val="26"/>
        </w:rPr>
        <w:t>(DRAFT)</w:t>
      </w:r>
    </w:p>
    <w:p w14:paraId="72C71912" w14:textId="77777777" w:rsidR="00716D3E" w:rsidRPr="00716D3E" w:rsidDel="00C31FA9" w:rsidRDefault="00716D3E" w:rsidP="00710E87">
      <w:pPr>
        <w:jc w:val="center"/>
        <w:rPr>
          <w:b/>
          <w:bCs/>
          <w:sz w:val="26"/>
          <w:szCs w:val="26"/>
        </w:rPr>
      </w:pPr>
    </w:p>
    <w:p w14:paraId="233ED6FD" w14:textId="3F0FF2A3" w:rsidR="00B836D2" w:rsidRPr="00716D3E" w:rsidRDefault="0010389E" w:rsidP="00710E87">
      <w:pPr>
        <w:jc w:val="center"/>
        <w:rPr>
          <w:rFonts w:cs="Angsana New"/>
          <w:b/>
          <w:bCs/>
          <w:sz w:val="26"/>
          <w:szCs w:val="33"/>
        </w:rPr>
      </w:pPr>
      <w:r w:rsidRPr="00716D3E">
        <w:rPr>
          <w:rFonts w:cs="Angsana New"/>
          <w:b/>
          <w:bCs/>
          <w:sz w:val="26"/>
          <w:szCs w:val="33"/>
        </w:rPr>
        <w:t>Justice for Her</w:t>
      </w:r>
      <w:r w:rsidR="00356C86" w:rsidRPr="00716D3E">
        <w:rPr>
          <w:rFonts w:cs="Angsana New"/>
          <w:b/>
          <w:bCs/>
          <w:sz w:val="26"/>
          <w:szCs w:val="33"/>
        </w:rPr>
        <w:t xml:space="preserve">: </w:t>
      </w:r>
      <w:r w:rsidR="00AF5093" w:rsidRPr="00716D3E">
        <w:rPr>
          <w:rFonts w:cs="Angsana New"/>
          <w:b/>
          <w:bCs/>
          <w:sz w:val="26"/>
          <w:szCs w:val="33"/>
        </w:rPr>
        <w:t>Overcoming</w:t>
      </w:r>
      <w:r w:rsidR="00AF5093" w:rsidRPr="00716D3E">
        <w:rPr>
          <w:rFonts w:cs="Angsana New" w:hint="cs"/>
          <w:b/>
          <w:bCs/>
          <w:sz w:val="26"/>
          <w:szCs w:val="33"/>
          <w:cs/>
        </w:rPr>
        <w:t xml:space="preserve"> </w:t>
      </w:r>
      <w:r w:rsidR="00F84BE0" w:rsidRPr="00716D3E">
        <w:rPr>
          <w:b/>
          <w:bCs/>
          <w:sz w:val="26"/>
          <w:szCs w:val="26"/>
        </w:rPr>
        <w:t xml:space="preserve">Challenges </w:t>
      </w:r>
      <w:r w:rsidR="00C14F24" w:rsidRPr="00716D3E">
        <w:rPr>
          <w:rFonts w:cs="Angsana New"/>
          <w:b/>
          <w:bCs/>
          <w:sz w:val="26"/>
          <w:szCs w:val="33"/>
        </w:rPr>
        <w:t xml:space="preserve">and </w:t>
      </w:r>
      <w:r w:rsidR="00B836D2" w:rsidRPr="00716D3E">
        <w:rPr>
          <w:rFonts w:cs="Angsana New"/>
          <w:b/>
          <w:bCs/>
          <w:sz w:val="26"/>
          <w:szCs w:val="33"/>
        </w:rPr>
        <w:t xml:space="preserve">Transforming the </w:t>
      </w:r>
      <w:r w:rsidR="00C14F24" w:rsidRPr="00716D3E">
        <w:rPr>
          <w:rFonts w:cs="Angsana New"/>
          <w:b/>
          <w:bCs/>
          <w:sz w:val="26"/>
          <w:szCs w:val="33"/>
        </w:rPr>
        <w:t>J</w:t>
      </w:r>
      <w:r w:rsidR="00B836D2" w:rsidRPr="00716D3E">
        <w:rPr>
          <w:rFonts w:cs="Angsana New"/>
          <w:b/>
          <w:bCs/>
          <w:sz w:val="26"/>
          <w:szCs w:val="33"/>
        </w:rPr>
        <w:t xml:space="preserve">ustice </w:t>
      </w:r>
      <w:r w:rsidR="00C14F24" w:rsidRPr="00716D3E">
        <w:rPr>
          <w:rFonts w:cs="Angsana New"/>
          <w:b/>
          <w:bCs/>
          <w:sz w:val="26"/>
          <w:szCs w:val="33"/>
        </w:rPr>
        <w:t>S</w:t>
      </w:r>
      <w:r w:rsidR="00B836D2" w:rsidRPr="00716D3E">
        <w:rPr>
          <w:rFonts w:cs="Angsana New"/>
          <w:b/>
          <w:bCs/>
          <w:sz w:val="26"/>
          <w:szCs w:val="33"/>
        </w:rPr>
        <w:t xml:space="preserve">ystem </w:t>
      </w:r>
      <w:r w:rsidR="005F63DF" w:rsidRPr="00716D3E">
        <w:rPr>
          <w:rFonts w:cs="Angsana New"/>
          <w:b/>
          <w:bCs/>
          <w:sz w:val="26"/>
          <w:szCs w:val="33"/>
        </w:rPr>
        <w:t>into a</w:t>
      </w:r>
      <w:r w:rsidR="00B836D2" w:rsidRPr="00716D3E">
        <w:rPr>
          <w:rFonts w:cs="Angsana New"/>
          <w:b/>
          <w:bCs/>
          <w:sz w:val="26"/>
          <w:szCs w:val="33"/>
        </w:rPr>
        <w:t xml:space="preserve"> </w:t>
      </w:r>
      <w:r w:rsidR="00C14F24" w:rsidRPr="00716D3E">
        <w:rPr>
          <w:rFonts w:cs="Angsana New"/>
          <w:b/>
          <w:bCs/>
          <w:sz w:val="26"/>
          <w:szCs w:val="33"/>
        </w:rPr>
        <w:t>S</w:t>
      </w:r>
      <w:r w:rsidR="00B836D2" w:rsidRPr="00716D3E">
        <w:rPr>
          <w:rFonts w:cs="Angsana New"/>
          <w:b/>
          <w:bCs/>
          <w:sz w:val="26"/>
          <w:szCs w:val="33"/>
        </w:rPr>
        <w:t xml:space="preserve">afe </w:t>
      </w:r>
      <w:r w:rsidR="00C14F24" w:rsidRPr="00716D3E">
        <w:rPr>
          <w:rFonts w:cs="Angsana New"/>
          <w:b/>
          <w:bCs/>
          <w:sz w:val="26"/>
          <w:szCs w:val="33"/>
        </w:rPr>
        <w:t>S</w:t>
      </w:r>
      <w:r w:rsidR="00B836D2" w:rsidRPr="00716D3E">
        <w:rPr>
          <w:rFonts w:cs="Angsana New"/>
          <w:b/>
          <w:bCs/>
          <w:sz w:val="26"/>
          <w:szCs w:val="33"/>
        </w:rPr>
        <w:t>pace</w:t>
      </w:r>
      <w:r w:rsidR="005C6409" w:rsidRPr="00716D3E">
        <w:rPr>
          <w:rFonts w:cs="Angsana New"/>
          <w:b/>
          <w:bCs/>
          <w:sz w:val="26"/>
          <w:szCs w:val="33"/>
        </w:rPr>
        <w:t xml:space="preserve"> for Victims in Gender-Based Violence Cases</w:t>
      </w:r>
    </w:p>
    <w:p w14:paraId="48CED012" w14:textId="77777777" w:rsidR="00C31FA9" w:rsidRPr="00716D3E" w:rsidRDefault="00C31FA9" w:rsidP="00710E87">
      <w:pPr>
        <w:jc w:val="center"/>
        <w:rPr>
          <w:rFonts w:cs="Angsana New"/>
          <w:b/>
          <w:bCs/>
          <w:sz w:val="26"/>
          <w:szCs w:val="33"/>
        </w:rPr>
      </w:pPr>
    </w:p>
    <w:p w14:paraId="446BFB2E" w14:textId="77777777" w:rsidR="00C31FA9" w:rsidRPr="00716D3E" w:rsidRDefault="00C31FA9" w:rsidP="00710E87">
      <w:pPr>
        <w:jc w:val="center"/>
        <w:rPr>
          <w:b/>
          <w:bCs/>
          <w:sz w:val="26"/>
          <w:szCs w:val="26"/>
        </w:rPr>
      </w:pPr>
      <w:r w:rsidRPr="00716D3E">
        <w:rPr>
          <w:b/>
          <w:bCs/>
          <w:sz w:val="26"/>
          <w:szCs w:val="26"/>
        </w:rPr>
        <w:t>Concept Note for the CSW70 (2026) Side Event</w:t>
      </w:r>
    </w:p>
    <w:p w14:paraId="2394DD42" w14:textId="77777777" w:rsidR="00C31FA9" w:rsidRPr="00716D3E" w:rsidRDefault="00C31FA9" w:rsidP="00710E87">
      <w:pPr>
        <w:jc w:val="thaiDistribute"/>
        <w:rPr>
          <w:rFonts w:cs="Angsana New"/>
          <w:b/>
          <w:bCs/>
          <w:sz w:val="26"/>
          <w:szCs w:val="33"/>
          <w:cs/>
        </w:rPr>
      </w:pPr>
    </w:p>
    <w:p w14:paraId="259F2749" w14:textId="7CF91176" w:rsidR="00D22FDC" w:rsidRPr="00716D3E" w:rsidRDefault="00C53D9C" w:rsidP="00710E87">
      <w:pPr>
        <w:jc w:val="thaiDistribute"/>
        <w:rPr>
          <w:b/>
          <w:bCs/>
        </w:rPr>
      </w:pPr>
      <w:r w:rsidRPr="00716D3E">
        <w:rPr>
          <w:b/>
          <w:bCs/>
        </w:rPr>
        <w:t>Purpose</w:t>
      </w:r>
    </w:p>
    <w:p w14:paraId="03EE5BB6" w14:textId="77777777" w:rsidR="00C53D9C" w:rsidRPr="00716D3E" w:rsidRDefault="00C53D9C" w:rsidP="00710E87">
      <w:pPr>
        <w:jc w:val="thaiDistribute"/>
        <w:rPr>
          <w:b/>
          <w:bCs/>
        </w:rPr>
      </w:pPr>
    </w:p>
    <w:p w14:paraId="7592E68A" w14:textId="7046EEA7" w:rsidR="00B54714" w:rsidRPr="00716D3E" w:rsidRDefault="002F3D9B" w:rsidP="00710E87">
      <w:pPr>
        <w:jc w:val="thaiDistribute"/>
        <w:rPr>
          <w:rStyle w:val="relative"/>
        </w:rPr>
      </w:pPr>
      <w:r w:rsidRPr="00716D3E">
        <w:t xml:space="preserve">Violence against women (VAW) is a pervasive human rights violation that affects one out of three women worldwide. Cutting across all distinctions of geography, class or ethnicity, it is firmly grounded in unequal power between women and men and reinforced by discriminatory and gender biased attitudes, norms and practices that both contribute to such violations and allow them to continue, often unchallenged. </w:t>
      </w:r>
      <w:r w:rsidR="00B54714" w:rsidRPr="00716D3E">
        <w:t xml:space="preserve">Despite global commitments to eliminate violence against women and girls, gender-based violence (GBV) remains widespread and systematically underreported, particularly when </w:t>
      </w:r>
      <w:r w:rsidR="00527D21" w:rsidRPr="00716D3E">
        <w:t>victims</w:t>
      </w:r>
      <w:r w:rsidR="00B54714" w:rsidRPr="00716D3E">
        <w:t xml:space="preserve"> attempt to seek justice. In Thailand, recent WHO estimates indicate that </w:t>
      </w:r>
      <w:r w:rsidR="00B54714" w:rsidRPr="00716D3E">
        <w:rPr>
          <w:rStyle w:val="Strong"/>
          <w:b w:val="0"/>
          <w:bCs w:val="0"/>
        </w:rPr>
        <w:t>32.9% of ever-partnered women aged 15</w:t>
      </w:r>
      <w:r w:rsidR="00C97F2A" w:rsidRPr="00716D3E">
        <w:rPr>
          <w:rStyle w:val="Strong"/>
          <w:b w:val="0"/>
          <w:bCs w:val="0"/>
        </w:rPr>
        <w:t>-</w:t>
      </w:r>
      <w:r w:rsidR="00B54714" w:rsidRPr="00716D3E">
        <w:rPr>
          <w:rStyle w:val="Strong"/>
          <w:b w:val="0"/>
          <w:bCs w:val="0"/>
        </w:rPr>
        <w:t>49 have experienced physical and/or sexual intimate partner violence in their lifetime</w:t>
      </w:r>
      <w:r w:rsidR="00B54714" w:rsidRPr="00716D3E">
        <w:t xml:space="preserve">, and </w:t>
      </w:r>
      <w:r w:rsidR="00B54714" w:rsidRPr="00716D3E">
        <w:rPr>
          <w:rStyle w:val="Strong"/>
          <w:b w:val="0"/>
          <w:bCs w:val="0"/>
        </w:rPr>
        <w:t>14.3% within the past 12 months</w:t>
      </w:r>
      <w:r w:rsidR="00B54714" w:rsidRPr="00716D3E">
        <w:rPr>
          <w:rStyle w:val="FootnoteReference"/>
        </w:rPr>
        <w:footnoteReference w:id="1"/>
      </w:r>
      <w:r w:rsidR="00B54714" w:rsidRPr="00716D3E">
        <w:t xml:space="preserve">, with psychological violence reported most frequently. Reporting remains extremely limited: although an estimated </w:t>
      </w:r>
      <w:r w:rsidR="00B54714" w:rsidRPr="00716D3E">
        <w:rPr>
          <w:rStyle w:val="Strong"/>
          <w:b w:val="0"/>
          <w:bCs w:val="0"/>
        </w:rPr>
        <w:t>30,000 incidents of sexual violence occur annually</w:t>
      </w:r>
      <w:r w:rsidR="00B54714" w:rsidRPr="00716D3E">
        <w:t xml:space="preserve">, only around </w:t>
      </w:r>
      <w:r w:rsidR="00B54714" w:rsidRPr="00716D3E">
        <w:rPr>
          <w:rStyle w:val="Strong"/>
          <w:b w:val="0"/>
          <w:bCs w:val="0"/>
        </w:rPr>
        <w:t>5,000 cases are reported to authorities</w:t>
      </w:r>
      <w:r w:rsidR="00B54714" w:rsidRPr="00716D3E">
        <w:t xml:space="preserve">, and </w:t>
      </w:r>
      <w:r w:rsidR="00B54714" w:rsidRPr="00716D3E">
        <w:rPr>
          <w:rStyle w:val="Strong"/>
          <w:b w:val="0"/>
          <w:bCs w:val="0"/>
        </w:rPr>
        <w:t xml:space="preserve">approximately 1,500 </w:t>
      </w:r>
      <w:r w:rsidR="00037B79" w:rsidRPr="00716D3E">
        <w:rPr>
          <w:rStyle w:val="Strong"/>
          <w:b w:val="0"/>
          <w:bCs w:val="0"/>
        </w:rPr>
        <w:t>leads</w:t>
      </w:r>
      <w:r w:rsidR="00B54714" w:rsidRPr="00716D3E">
        <w:rPr>
          <w:rStyle w:val="Strong"/>
          <w:b w:val="0"/>
          <w:bCs w:val="0"/>
        </w:rPr>
        <w:t xml:space="preserve"> to arrest</w:t>
      </w:r>
      <w:r w:rsidR="00B54714" w:rsidRPr="00716D3E">
        <w:t>, reflecting significant institutional and structural barriers to justice.</w:t>
      </w:r>
      <w:r w:rsidR="00B54714" w:rsidRPr="00716D3E">
        <w:rPr>
          <w:rStyle w:val="FootnoteReference"/>
        </w:rPr>
        <w:footnoteReference w:id="2"/>
      </w:r>
      <w:r w:rsidR="00B54714" w:rsidRPr="00716D3E">
        <w:t xml:space="preserve"> </w:t>
      </w:r>
    </w:p>
    <w:p w14:paraId="1E5BDCFF" w14:textId="77777777" w:rsidR="00B54714" w:rsidRPr="00716D3E" w:rsidRDefault="00B54714" w:rsidP="00710E87">
      <w:pPr>
        <w:jc w:val="thaiDistribute"/>
      </w:pPr>
    </w:p>
    <w:p w14:paraId="4F460E47" w14:textId="208AE657" w:rsidR="00B54714" w:rsidRPr="00716D3E" w:rsidRDefault="00DD7FC3" w:rsidP="00710E87">
      <w:pPr>
        <w:jc w:val="thaiDistribute"/>
      </w:pPr>
      <w:r w:rsidRPr="00716D3E">
        <w:t>For many victims</w:t>
      </w:r>
      <w:r w:rsidR="005C277D" w:rsidRPr="00716D3E">
        <w:rPr>
          <w:rStyle w:val="FootnoteReference"/>
        </w:rPr>
        <w:footnoteReference w:id="3"/>
      </w:r>
      <w:r w:rsidRPr="00716D3E">
        <w:t xml:space="preserve">, engagement with criminal justice systems does not lead to protection or redress, but instead exposes them to </w:t>
      </w:r>
      <w:bookmarkStart w:id="0" w:name="_Hlk219207858"/>
      <w:r w:rsidRPr="00716D3E">
        <w:rPr>
          <w:rStyle w:val="Strong"/>
          <w:b w:val="0"/>
          <w:bCs w:val="0"/>
        </w:rPr>
        <w:t xml:space="preserve">secondary </w:t>
      </w:r>
      <w:bookmarkEnd w:id="0"/>
      <w:r w:rsidR="00037B79" w:rsidRPr="00716D3E">
        <w:rPr>
          <w:rStyle w:val="Strong"/>
          <w:b w:val="0"/>
          <w:bCs w:val="0"/>
        </w:rPr>
        <w:t>victimization</w:t>
      </w:r>
      <w:r w:rsidRPr="00716D3E">
        <w:rPr>
          <w:rStyle w:val="FootnoteReference"/>
          <w:b/>
          <w:bCs/>
        </w:rPr>
        <w:footnoteReference w:id="4"/>
      </w:r>
      <w:r w:rsidRPr="00716D3E">
        <w:t xml:space="preserve">, including victim-blaming, disbelief, repeated or invasive questioning, pressure to reconcile, and the inadequate recognition of psychological and non-physical harm. These challenges are particularly acute where experiences of coercive control, emotional trauma, and sexual violence are insufficiently </w:t>
      </w:r>
      <w:r w:rsidR="00037B79" w:rsidRPr="00716D3E">
        <w:t>recognized</w:t>
      </w:r>
      <w:r w:rsidRPr="00716D3E">
        <w:t xml:space="preserve"> within existing legal definitions, evidentiary standards, and justice procedures. Barriers to justice are further compounded for women and girls facing intersecting forms of discrimination, including migrant women, refugees, women with disabilities, and LGBTQI+ persons. Factors such as fear of retaliation, legal insecurity, language barriers, stigma, and limited access to victim-</w:t>
      </w:r>
      <w:r w:rsidR="00037B79" w:rsidRPr="00716D3E">
        <w:t>centered</w:t>
      </w:r>
      <w:r w:rsidRPr="00716D3E">
        <w:t xml:space="preserve"> services continue to deter reporting and restrict meaningful participation in justice processes.</w:t>
      </w:r>
      <w:r w:rsidR="00CB1425" w:rsidRPr="00716D3E">
        <w:rPr>
          <w:rStyle w:val="FootnoteReference"/>
        </w:rPr>
        <w:footnoteReference w:id="5"/>
      </w:r>
      <w:r w:rsidR="009E22B8" w:rsidRPr="00716D3E">
        <w:t xml:space="preserve"> These barriers are not unique to any single country, but reflect shared structural and institutional challenges across different legal systems and regional contexts, underscoring the value of dialogue that brings together national and regional perspectives, including from ASEAN Member States.</w:t>
      </w:r>
    </w:p>
    <w:p w14:paraId="3A3DB5B4" w14:textId="77777777" w:rsidR="00C4186D" w:rsidRPr="00716D3E" w:rsidRDefault="00C4186D" w:rsidP="00710E87">
      <w:pPr>
        <w:jc w:val="thaiDistribute"/>
        <w:rPr>
          <w:rFonts w:cs="Angsana New"/>
          <w:szCs w:val="30"/>
        </w:rPr>
      </w:pPr>
    </w:p>
    <w:p w14:paraId="007B46F8" w14:textId="3AFB1B19" w:rsidR="00C4186D" w:rsidRPr="00716D3E" w:rsidRDefault="00D22FDC" w:rsidP="00710E87">
      <w:pPr>
        <w:jc w:val="thaiDistribute"/>
      </w:pPr>
      <w:r w:rsidRPr="00716D3E">
        <w:lastRenderedPageBreak/>
        <w:t xml:space="preserve">Against this backdrop, the Commission on the Status of Women (CSW) provides a critical global platform for Member States, UN entities, and civil society to examine persistent gaps between normative commitments and the lived realities of victims of violence. As the principal intergovernmental forum dedicated to advancing gender equality and the empowerment of women, CSW offers a timely and strategic space to elevate evidence, share comparative reform experiences, and </w:t>
      </w:r>
      <w:r w:rsidR="00037B79" w:rsidRPr="00716D3E">
        <w:t>catalyze</w:t>
      </w:r>
      <w:r w:rsidRPr="00716D3E">
        <w:t xml:space="preserve"> political will to strengthen access to justice for victims of gender-</w:t>
      </w:r>
      <w:r w:rsidRPr="005961BF">
        <w:t xml:space="preserve">based violence. In this context, </w:t>
      </w:r>
      <w:proofErr w:type="spellStart"/>
      <w:r w:rsidRPr="005961BF">
        <w:t>Nitivajra</w:t>
      </w:r>
      <w:proofErr w:type="spellEnd"/>
      <w:r w:rsidRPr="005961BF">
        <w:t xml:space="preserve"> Institute</w:t>
      </w:r>
      <w:r w:rsidR="004C0FCD" w:rsidRPr="005961BF">
        <w:t xml:space="preserve">, Office of the Attorney General, in partnership with </w:t>
      </w:r>
      <w:r w:rsidR="00D658BA" w:rsidRPr="005961BF">
        <w:t>Thailand’s</w:t>
      </w:r>
      <w:r w:rsidR="004C0FCD" w:rsidRPr="005961BF">
        <w:t xml:space="preserve"> Ministry of Social Development and Human Security (MSDHS)</w:t>
      </w:r>
      <w:r w:rsidR="00886A0E" w:rsidRPr="005961BF">
        <w:rPr>
          <w:rFonts w:cstheme="minorBidi"/>
        </w:rPr>
        <w:t>,</w:t>
      </w:r>
      <w:r w:rsidR="006100DF" w:rsidRPr="005961BF">
        <w:rPr>
          <w:rFonts w:cstheme="minorBidi"/>
        </w:rPr>
        <w:t xml:space="preserve"> </w:t>
      </w:r>
      <w:r w:rsidR="004C0FCD" w:rsidRPr="005961BF">
        <w:t>UN Women</w:t>
      </w:r>
      <w:r w:rsidR="00886A0E" w:rsidRPr="005961BF">
        <w:t>,</w:t>
      </w:r>
      <w:r w:rsidR="005961BF" w:rsidRPr="005961BF">
        <w:t xml:space="preserve"> Thailand Institute of Justice (TIJ)</w:t>
      </w:r>
      <w:r w:rsidR="00886A0E" w:rsidRPr="005961BF">
        <w:t xml:space="preserve"> and </w:t>
      </w:r>
      <w:r w:rsidR="000633BC" w:rsidRPr="005961BF">
        <w:t xml:space="preserve">a </w:t>
      </w:r>
      <w:r w:rsidR="00527D21" w:rsidRPr="005961BF">
        <w:t>victim</w:t>
      </w:r>
      <w:r w:rsidR="000633BC" w:rsidRPr="005961BF">
        <w:t xml:space="preserve">’s rights advocate organization </w:t>
      </w:r>
      <w:proofErr w:type="spellStart"/>
      <w:r w:rsidR="000633BC" w:rsidRPr="005961BF">
        <w:t>SHero</w:t>
      </w:r>
      <w:proofErr w:type="spellEnd"/>
      <w:r w:rsidR="000633BC" w:rsidRPr="005961BF">
        <w:t xml:space="preserve"> Thailand</w:t>
      </w:r>
      <w:r w:rsidR="004C0FCD" w:rsidRPr="005961BF">
        <w:t>, aims to organize a</w:t>
      </w:r>
      <w:r w:rsidRPr="005961BF">
        <w:t xml:space="preserve"> side event</w:t>
      </w:r>
      <w:r w:rsidR="004C0FCD" w:rsidRPr="005961BF">
        <w:t xml:space="preserve">, titled </w:t>
      </w:r>
      <w:r w:rsidR="004C0FCD" w:rsidRPr="005961BF">
        <w:rPr>
          <w:i/>
          <w:iCs/>
        </w:rPr>
        <w:t>Justice for Her: Overcoming Challenges and Transforming the Justice System into  a Safe Space for Victims in Gender-Based Violence Cases</w:t>
      </w:r>
      <w:r w:rsidR="00037934" w:rsidRPr="005961BF">
        <w:rPr>
          <w:i/>
          <w:iCs/>
        </w:rPr>
        <w:t xml:space="preserve"> </w:t>
      </w:r>
      <w:r w:rsidRPr="005961BF">
        <w:t>to contribute to ongoing global and national dialogues on justice sector reform by spotlighting how criminal justice systems can either perpetuate harm or become instruments of protection, accountability, and rights-based redress.</w:t>
      </w:r>
      <w:r w:rsidRPr="00716D3E">
        <w:t xml:space="preserve"> </w:t>
      </w:r>
    </w:p>
    <w:p w14:paraId="349EA3C8" w14:textId="77777777" w:rsidR="00D22FDC" w:rsidRPr="00716D3E" w:rsidRDefault="00D22FDC" w:rsidP="00710E87">
      <w:pPr>
        <w:jc w:val="thaiDistribute"/>
        <w:rPr>
          <w:rFonts w:cstheme="minorBidi"/>
        </w:rPr>
      </w:pPr>
    </w:p>
    <w:p w14:paraId="4E8209B2" w14:textId="729413C1" w:rsidR="00F65084" w:rsidRPr="00716D3E" w:rsidRDefault="003F3E10" w:rsidP="00710E87">
      <w:pPr>
        <w:jc w:val="thaiDistribute"/>
      </w:pPr>
      <w:r w:rsidRPr="00716D3E">
        <w:t xml:space="preserve">The </w:t>
      </w:r>
      <w:r w:rsidR="00CB1425" w:rsidRPr="00716D3E">
        <w:t xml:space="preserve">side </w:t>
      </w:r>
      <w:r w:rsidR="00D31EFA" w:rsidRPr="00716D3E">
        <w:t>event will explore the journey</w:t>
      </w:r>
      <w:r w:rsidR="00CB1425" w:rsidRPr="00716D3E">
        <w:t xml:space="preserve"> of victims</w:t>
      </w:r>
      <w:r w:rsidR="00D31EFA" w:rsidRPr="00716D3E">
        <w:t xml:space="preserve"> through the criminal justice</w:t>
      </w:r>
      <w:r w:rsidR="00CB1425" w:rsidRPr="00716D3E">
        <w:t xml:space="preserve"> system, examining how legal frameworks, institutional practices, and entrenched gender norms undermine effective access to justice. Drawing on comparative experiences, including ongoing reform efforts in Thailand and other jurisdictions, the discussion will move beyond problem-mapping to focus on </w:t>
      </w:r>
      <w:r w:rsidR="00CB1425" w:rsidRPr="00716D3E">
        <w:rPr>
          <w:rStyle w:val="Strong"/>
          <w:b w:val="0"/>
          <w:bCs w:val="0"/>
        </w:rPr>
        <w:t>practical,</w:t>
      </w:r>
      <w:r w:rsidR="00336774" w:rsidRPr="00716D3E">
        <w:rPr>
          <w:rStyle w:val="Strong"/>
          <w:b w:val="0"/>
          <w:bCs w:val="0"/>
        </w:rPr>
        <w:t xml:space="preserve"> victim</w:t>
      </w:r>
      <w:r w:rsidR="00CB1425" w:rsidRPr="00716D3E">
        <w:rPr>
          <w:rStyle w:val="Strong"/>
          <w:b w:val="0"/>
          <w:bCs w:val="0"/>
        </w:rPr>
        <w:t>-</w:t>
      </w:r>
      <w:r w:rsidR="00037B79" w:rsidRPr="00716D3E">
        <w:rPr>
          <w:rStyle w:val="Strong"/>
          <w:b w:val="0"/>
          <w:bCs w:val="0"/>
        </w:rPr>
        <w:t>centered</w:t>
      </w:r>
      <w:r w:rsidR="00CB1425" w:rsidRPr="00716D3E">
        <w:rPr>
          <w:rStyle w:val="Strong"/>
          <w:b w:val="0"/>
          <w:bCs w:val="0"/>
        </w:rPr>
        <w:t xml:space="preserve"> solutions</w:t>
      </w:r>
      <w:r w:rsidR="000C69BD" w:rsidRPr="00716D3E">
        <w:rPr>
          <w:rStyle w:val="Strong"/>
          <w:b w:val="0"/>
          <w:bCs w:val="0"/>
        </w:rPr>
        <w:t xml:space="preserve">, </w:t>
      </w:r>
      <w:r w:rsidR="000C69BD" w:rsidRPr="00716D3E">
        <w:t>reinforcing the relevance of victim-</w:t>
      </w:r>
      <w:r w:rsidR="00037B79" w:rsidRPr="00716D3E">
        <w:t>centered</w:t>
      </w:r>
      <w:r w:rsidR="000C69BD" w:rsidRPr="00716D3E">
        <w:t>, trauma-informed justice responses in advancing CSW’s agreed conclusions and global commitments to end violence against women and girls.</w:t>
      </w:r>
      <w:r w:rsidR="00CB1425" w:rsidRPr="00716D3E">
        <w:t xml:space="preserve"> These include legal and procedural reforms</w:t>
      </w:r>
      <w:r w:rsidR="00376BD9" w:rsidRPr="00716D3E">
        <w:t xml:space="preserve"> </w:t>
      </w:r>
      <w:r w:rsidR="002D3265" w:rsidRPr="00716D3E">
        <w:t xml:space="preserve">to safeguard victims of gender-based violence from emotional harm and secondary </w:t>
      </w:r>
      <w:r w:rsidR="00037B79" w:rsidRPr="00716D3E">
        <w:t>victimization</w:t>
      </w:r>
      <w:r w:rsidR="002D3265" w:rsidRPr="00716D3E">
        <w:t xml:space="preserve"> arising from their engagement with criminal justice proceedings</w:t>
      </w:r>
      <w:r w:rsidR="00CB1425" w:rsidRPr="00716D3E">
        <w:t>,</w:t>
      </w:r>
      <w:r w:rsidR="002D3265" w:rsidRPr="00716D3E">
        <w:t xml:space="preserve"> </w:t>
      </w:r>
      <w:r w:rsidR="00CB1425" w:rsidRPr="00716D3E">
        <w:t xml:space="preserve">trauma-informed practices, and accountability mechanisms aligned with the United Nations Updated Model Strategies on the Elimination of Violence against Women. By </w:t>
      </w:r>
      <w:r w:rsidR="00037B79" w:rsidRPr="00716D3E">
        <w:t>centering</w:t>
      </w:r>
      <w:r w:rsidR="00CB1425" w:rsidRPr="00716D3E">
        <w:t xml:space="preserve"> victim realities alongside practitioner experience, the event aims to contribute to justice systems that restore trust, enable meaningful participation, and uphold victims’ rights.</w:t>
      </w:r>
      <w:r w:rsidR="00BC2CD5" w:rsidRPr="00716D3E">
        <w:t xml:space="preserve"> </w:t>
      </w:r>
    </w:p>
    <w:p w14:paraId="3D86911E" w14:textId="77777777" w:rsidR="009764C3" w:rsidRPr="00716D3E" w:rsidRDefault="009764C3" w:rsidP="00710E87">
      <w:pPr>
        <w:jc w:val="thaiDistribute"/>
        <w:rPr>
          <w:b/>
          <w:bCs/>
        </w:rPr>
      </w:pPr>
    </w:p>
    <w:p w14:paraId="7A9ED55E" w14:textId="38AC1AA2" w:rsidR="00C85F3E" w:rsidRPr="00716D3E" w:rsidRDefault="00C85F3E" w:rsidP="00710E87">
      <w:pPr>
        <w:jc w:val="thaiDistribute"/>
        <w:rPr>
          <w:b/>
          <w:bCs/>
        </w:rPr>
      </w:pPr>
      <w:r w:rsidRPr="00716D3E">
        <w:rPr>
          <w:b/>
          <w:bCs/>
        </w:rPr>
        <w:t>Objectives</w:t>
      </w:r>
      <w:r w:rsidR="009E15E1" w:rsidRPr="00716D3E">
        <w:rPr>
          <w:b/>
          <w:bCs/>
        </w:rPr>
        <w:t>:</w:t>
      </w:r>
    </w:p>
    <w:p w14:paraId="179444C6" w14:textId="77777777" w:rsidR="009764C3" w:rsidRPr="00716D3E" w:rsidRDefault="009764C3" w:rsidP="00710E87">
      <w:pPr>
        <w:jc w:val="thaiDistribute"/>
        <w:rPr>
          <w:b/>
          <w:bCs/>
        </w:rPr>
      </w:pPr>
    </w:p>
    <w:p w14:paraId="65D1E07F" w14:textId="2386AB90" w:rsidR="00354099" w:rsidRPr="00716D3E" w:rsidRDefault="00354099" w:rsidP="00710E87">
      <w:pPr>
        <w:pStyle w:val="ListParagraph"/>
        <w:numPr>
          <w:ilvl w:val="0"/>
          <w:numId w:val="7"/>
        </w:numPr>
        <w:spacing w:after="0" w:line="240" w:lineRule="auto"/>
        <w:jc w:val="thaiDistribute"/>
        <w:rPr>
          <w:rFonts w:ascii="Times New Roman" w:hAnsi="Times New Roman" w:cs="Times New Roman"/>
          <w:sz w:val="24"/>
          <w:szCs w:val="24"/>
        </w:rPr>
      </w:pPr>
      <w:r w:rsidRPr="00716D3E">
        <w:rPr>
          <w:rFonts w:ascii="Times New Roman" w:hAnsi="Times New Roman" w:cs="Times New Roman"/>
          <w:sz w:val="24"/>
          <w:szCs w:val="24"/>
        </w:rPr>
        <w:t xml:space="preserve">To leverage the CSW side event as a strategic intergovernmental and multi-stakeholder platform to </w:t>
      </w:r>
      <w:r w:rsidR="00037B79" w:rsidRPr="00716D3E">
        <w:rPr>
          <w:rFonts w:ascii="Times New Roman" w:hAnsi="Times New Roman" w:cs="Times New Roman"/>
          <w:sz w:val="24"/>
          <w:szCs w:val="24"/>
        </w:rPr>
        <w:t>catalyze</w:t>
      </w:r>
      <w:r w:rsidRPr="00716D3E">
        <w:rPr>
          <w:rFonts w:ascii="Times New Roman" w:hAnsi="Times New Roman" w:cs="Times New Roman"/>
          <w:sz w:val="24"/>
          <w:szCs w:val="24"/>
        </w:rPr>
        <w:t xml:space="preserve"> political will and accountability for justice sector reforms that strengthen </w:t>
      </w:r>
      <w:r w:rsidR="001260AA" w:rsidRPr="00716D3E">
        <w:rPr>
          <w:rFonts w:ascii="Times New Roman" w:hAnsi="Times New Roman" w:cs="Times New Roman"/>
          <w:sz w:val="24"/>
          <w:szCs w:val="24"/>
        </w:rPr>
        <w:t>victims</w:t>
      </w:r>
      <w:r w:rsidRPr="00716D3E">
        <w:rPr>
          <w:rFonts w:ascii="Times New Roman" w:hAnsi="Times New Roman" w:cs="Times New Roman"/>
          <w:sz w:val="24"/>
          <w:szCs w:val="24"/>
        </w:rPr>
        <w:t>’ effective access to justice.</w:t>
      </w:r>
    </w:p>
    <w:p w14:paraId="3F9E4725" w14:textId="30B7AA68" w:rsidR="00354099" w:rsidRPr="00716D3E" w:rsidRDefault="00354099" w:rsidP="00710E87">
      <w:pPr>
        <w:pStyle w:val="ListParagraph"/>
        <w:numPr>
          <w:ilvl w:val="0"/>
          <w:numId w:val="7"/>
        </w:numPr>
        <w:spacing w:after="0" w:line="240" w:lineRule="auto"/>
        <w:jc w:val="thaiDistribute"/>
        <w:rPr>
          <w:rFonts w:ascii="Times New Roman" w:hAnsi="Times New Roman" w:cs="Times New Roman"/>
          <w:sz w:val="24"/>
          <w:szCs w:val="24"/>
        </w:rPr>
      </w:pPr>
      <w:r w:rsidRPr="00716D3E">
        <w:rPr>
          <w:rFonts w:ascii="Times New Roman" w:hAnsi="Times New Roman" w:cs="Times New Roman"/>
          <w:sz w:val="24"/>
          <w:szCs w:val="24"/>
        </w:rPr>
        <w:t xml:space="preserve">To use comparative experiences and </w:t>
      </w:r>
      <w:r w:rsidR="006F7137" w:rsidRPr="00716D3E">
        <w:rPr>
          <w:rFonts w:ascii="Times New Roman" w:hAnsi="Times New Roman" w:cs="Angsana New"/>
          <w:sz w:val="24"/>
          <w:szCs w:val="30"/>
        </w:rPr>
        <w:t>victim</w:t>
      </w:r>
      <w:r w:rsidRPr="00716D3E">
        <w:rPr>
          <w:rFonts w:ascii="Times New Roman" w:hAnsi="Times New Roman" w:cs="Times New Roman"/>
          <w:sz w:val="24"/>
          <w:szCs w:val="24"/>
        </w:rPr>
        <w:t>-</w:t>
      </w:r>
      <w:r w:rsidR="00037B79" w:rsidRPr="00716D3E">
        <w:rPr>
          <w:rFonts w:ascii="Times New Roman" w:hAnsi="Times New Roman" w:cs="Times New Roman"/>
          <w:sz w:val="24"/>
          <w:szCs w:val="24"/>
        </w:rPr>
        <w:t>centered</w:t>
      </w:r>
      <w:r w:rsidRPr="00716D3E">
        <w:rPr>
          <w:rFonts w:ascii="Times New Roman" w:hAnsi="Times New Roman" w:cs="Times New Roman"/>
          <w:sz w:val="24"/>
          <w:szCs w:val="24"/>
        </w:rPr>
        <w:t xml:space="preserve"> analysis presented during the CSW side event to inform and influence concrete justice reform pathways, translating global norms into actionable legislative, policy, and practice-based reforms at national and sub-national levels.</w:t>
      </w:r>
    </w:p>
    <w:p w14:paraId="361C3C92" w14:textId="5BFFAE8D" w:rsidR="00354099" w:rsidRPr="00716D3E" w:rsidRDefault="00354099" w:rsidP="00710E87">
      <w:pPr>
        <w:pStyle w:val="ListParagraph"/>
        <w:numPr>
          <w:ilvl w:val="0"/>
          <w:numId w:val="7"/>
        </w:numPr>
        <w:spacing w:after="0" w:line="240" w:lineRule="auto"/>
        <w:jc w:val="thaiDistribute"/>
        <w:rPr>
          <w:rFonts w:ascii="Times New Roman" w:hAnsi="Times New Roman" w:cs="Times New Roman"/>
          <w:sz w:val="24"/>
          <w:szCs w:val="24"/>
        </w:rPr>
      </w:pPr>
      <w:r w:rsidRPr="00716D3E">
        <w:rPr>
          <w:rFonts w:ascii="Times New Roman" w:hAnsi="Times New Roman" w:cs="Times New Roman"/>
          <w:sz w:val="24"/>
          <w:szCs w:val="24"/>
        </w:rPr>
        <w:t xml:space="preserve">To identify and examine key challenges faced by victims of GBV with criminal justice processes, including barriers that hinder effective access to justice and contribute to secondary </w:t>
      </w:r>
      <w:r w:rsidR="00037B79" w:rsidRPr="00716D3E">
        <w:rPr>
          <w:rFonts w:ascii="Times New Roman" w:hAnsi="Times New Roman" w:cs="Times New Roman"/>
          <w:sz w:val="24"/>
          <w:szCs w:val="24"/>
        </w:rPr>
        <w:t>victimization</w:t>
      </w:r>
      <w:r w:rsidRPr="00716D3E">
        <w:rPr>
          <w:rFonts w:ascii="Times New Roman" w:hAnsi="Times New Roman" w:cs="Times New Roman"/>
          <w:sz w:val="24"/>
          <w:szCs w:val="24"/>
        </w:rPr>
        <w:t>.</w:t>
      </w:r>
    </w:p>
    <w:p w14:paraId="744C769E" w14:textId="77777777" w:rsidR="00354099" w:rsidRPr="00716D3E" w:rsidRDefault="00354099" w:rsidP="00710E87">
      <w:pPr>
        <w:pStyle w:val="ListParagraph"/>
        <w:numPr>
          <w:ilvl w:val="0"/>
          <w:numId w:val="7"/>
        </w:numPr>
        <w:spacing w:after="0" w:line="240" w:lineRule="auto"/>
        <w:jc w:val="thaiDistribute"/>
        <w:rPr>
          <w:rFonts w:ascii="Times New Roman" w:hAnsi="Times New Roman" w:cs="Times New Roman"/>
          <w:sz w:val="24"/>
          <w:szCs w:val="24"/>
        </w:rPr>
      </w:pPr>
      <w:r w:rsidRPr="00716D3E">
        <w:rPr>
          <w:rFonts w:ascii="Times New Roman" w:hAnsi="Times New Roman" w:cs="Times New Roman"/>
          <w:sz w:val="24"/>
          <w:szCs w:val="24"/>
        </w:rPr>
        <w:t xml:space="preserve">To facilitate the exchange of experiences and practical solutions among like-minded countries to address common obstacles and strengthen access to justice for women and girls. </w:t>
      </w:r>
    </w:p>
    <w:p w14:paraId="6A1FECF2" w14:textId="2C8E07BA" w:rsidR="00354099" w:rsidRPr="00716D3E" w:rsidRDefault="00354099" w:rsidP="00710E87">
      <w:pPr>
        <w:pStyle w:val="ListParagraph"/>
        <w:numPr>
          <w:ilvl w:val="0"/>
          <w:numId w:val="7"/>
        </w:numPr>
        <w:spacing w:after="0" w:line="240" w:lineRule="auto"/>
        <w:jc w:val="thaiDistribute"/>
      </w:pPr>
      <w:r w:rsidRPr="00716D3E">
        <w:rPr>
          <w:rFonts w:ascii="Times New Roman" w:hAnsi="Times New Roman" w:cs="Times New Roman"/>
          <w:sz w:val="24"/>
          <w:szCs w:val="24"/>
        </w:rPr>
        <w:t>To explore and promote effective tools and practices to enhance the responsiveness of the criminal justice system and enable women to participate meaningfully in the process through a victim-</w:t>
      </w:r>
      <w:r w:rsidR="00037B79" w:rsidRPr="00716D3E">
        <w:rPr>
          <w:rFonts w:ascii="Times New Roman" w:hAnsi="Times New Roman" w:cs="Times New Roman"/>
          <w:sz w:val="24"/>
          <w:szCs w:val="24"/>
        </w:rPr>
        <w:t>centered</w:t>
      </w:r>
      <w:r w:rsidRPr="00716D3E">
        <w:rPr>
          <w:rFonts w:ascii="Times New Roman" w:hAnsi="Times New Roman" w:cs="Times New Roman"/>
          <w:sz w:val="24"/>
          <w:szCs w:val="24"/>
        </w:rPr>
        <w:t xml:space="preserve"> approach. </w:t>
      </w:r>
    </w:p>
    <w:p w14:paraId="06CEDC98" w14:textId="635B5D4B" w:rsidR="00730FB8" w:rsidRPr="00716D3E" w:rsidRDefault="00730FB8" w:rsidP="00710E87">
      <w:pPr>
        <w:jc w:val="thaiDistribute"/>
      </w:pPr>
    </w:p>
    <w:p w14:paraId="50FE1F62" w14:textId="1E966702" w:rsidR="00F900FB" w:rsidRPr="00716D3E" w:rsidRDefault="00F900FB" w:rsidP="00710E87">
      <w:pPr>
        <w:jc w:val="thaiDistribute"/>
        <w:rPr>
          <w:b/>
          <w:bCs/>
        </w:rPr>
      </w:pPr>
      <w:r w:rsidRPr="00716D3E">
        <w:rPr>
          <w:b/>
          <w:bCs/>
        </w:rPr>
        <w:lastRenderedPageBreak/>
        <w:t>Expected Results:</w:t>
      </w:r>
    </w:p>
    <w:p w14:paraId="7A72C384" w14:textId="77777777" w:rsidR="009764C3" w:rsidRPr="00716D3E" w:rsidRDefault="009764C3" w:rsidP="00710E87">
      <w:pPr>
        <w:jc w:val="thaiDistribute"/>
        <w:rPr>
          <w:b/>
          <w:bCs/>
        </w:rPr>
      </w:pPr>
    </w:p>
    <w:p w14:paraId="6F68FDC4" w14:textId="345AB86E" w:rsidR="00472462" w:rsidRPr="00716D3E" w:rsidRDefault="00472462" w:rsidP="00710E87">
      <w:pPr>
        <w:pStyle w:val="ListParagraph"/>
        <w:numPr>
          <w:ilvl w:val="0"/>
          <w:numId w:val="6"/>
        </w:numPr>
        <w:spacing w:after="0" w:line="240" w:lineRule="auto"/>
        <w:jc w:val="thaiDistribute"/>
        <w:rPr>
          <w:szCs w:val="32"/>
        </w:rPr>
      </w:pPr>
      <w:r w:rsidRPr="00716D3E">
        <w:rPr>
          <w:rFonts w:ascii="Times New Roman" w:hAnsi="Times New Roman" w:cs="Times New Roman"/>
          <w:sz w:val="24"/>
          <w:szCs w:val="32"/>
        </w:rPr>
        <w:t xml:space="preserve">Increased political and policy-level recognition among Member State representatives, justice institutions, and UN stakeholders of persistent structural and procedural barriers that undermine </w:t>
      </w:r>
      <w:r w:rsidR="000669CE" w:rsidRPr="00716D3E">
        <w:rPr>
          <w:rFonts w:ascii="Times New Roman" w:hAnsi="Times New Roman" w:cs="Times New Roman"/>
          <w:sz w:val="24"/>
          <w:szCs w:val="32"/>
        </w:rPr>
        <w:t>victims</w:t>
      </w:r>
      <w:r w:rsidRPr="00716D3E">
        <w:rPr>
          <w:rFonts w:ascii="Times New Roman" w:hAnsi="Times New Roman" w:cs="Times New Roman"/>
          <w:sz w:val="24"/>
          <w:szCs w:val="32"/>
        </w:rPr>
        <w:t>’ access to justice.</w:t>
      </w:r>
    </w:p>
    <w:p w14:paraId="30648B9F" w14:textId="2798348D" w:rsidR="00472462" w:rsidRPr="00716D3E" w:rsidRDefault="00472462" w:rsidP="00710E87">
      <w:pPr>
        <w:pStyle w:val="ListParagraph"/>
        <w:numPr>
          <w:ilvl w:val="0"/>
          <w:numId w:val="6"/>
        </w:numPr>
        <w:spacing w:after="0" w:line="240" w:lineRule="auto"/>
        <w:jc w:val="thaiDistribute"/>
        <w:rPr>
          <w:szCs w:val="32"/>
        </w:rPr>
      </w:pPr>
      <w:r w:rsidRPr="00716D3E">
        <w:rPr>
          <w:rFonts w:ascii="Times New Roman" w:hAnsi="Times New Roman" w:cs="Times New Roman"/>
          <w:sz w:val="24"/>
          <w:szCs w:val="32"/>
        </w:rPr>
        <w:t>Renewed commitments and reform-oriented messaging from participating stakeholders to advance</w:t>
      </w:r>
      <w:r w:rsidR="006F7137" w:rsidRPr="00716D3E">
        <w:rPr>
          <w:rFonts w:ascii="Times New Roman" w:hAnsi="Times New Roman" w:cs="Times New Roman"/>
          <w:sz w:val="24"/>
          <w:szCs w:val="32"/>
        </w:rPr>
        <w:t xml:space="preserve"> victim</w:t>
      </w:r>
      <w:r w:rsidRPr="00716D3E">
        <w:rPr>
          <w:rFonts w:ascii="Times New Roman" w:hAnsi="Times New Roman" w:cs="Times New Roman"/>
          <w:sz w:val="24"/>
          <w:szCs w:val="32"/>
        </w:rPr>
        <w:t>-</w:t>
      </w:r>
      <w:r w:rsidR="00037B79" w:rsidRPr="00716D3E">
        <w:rPr>
          <w:rFonts w:ascii="Times New Roman" w:hAnsi="Times New Roman" w:cs="Times New Roman"/>
          <w:sz w:val="24"/>
          <w:szCs w:val="32"/>
        </w:rPr>
        <w:t>centered</w:t>
      </w:r>
      <w:r w:rsidRPr="00716D3E">
        <w:rPr>
          <w:rFonts w:ascii="Times New Roman" w:hAnsi="Times New Roman" w:cs="Times New Roman"/>
          <w:sz w:val="24"/>
          <w:szCs w:val="32"/>
        </w:rPr>
        <w:t>, trauma-informed justice responses, including alignment with international standards.</w:t>
      </w:r>
    </w:p>
    <w:p w14:paraId="47068A8E" w14:textId="5C60808B" w:rsidR="00337B52" w:rsidRPr="00716D3E" w:rsidRDefault="00337B52" w:rsidP="00710E87">
      <w:pPr>
        <w:pStyle w:val="ListParagraph"/>
        <w:numPr>
          <w:ilvl w:val="0"/>
          <w:numId w:val="6"/>
        </w:numPr>
        <w:spacing w:after="0" w:line="240" w:lineRule="auto"/>
        <w:jc w:val="thaiDistribute"/>
        <w:rPr>
          <w:szCs w:val="32"/>
        </w:rPr>
      </w:pPr>
      <w:r w:rsidRPr="00716D3E">
        <w:rPr>
          <w:rFonts w:ascii="Times New Roman" w:hAnsi="Times New Roman" w:cs="Times New Roman"/>
          <w:sz w:val="24"/>
          <w:szCs w:val="32"/>
        </w:rPr>
        <w:t xml:space="preserve">Strengthened momentum for follow-up dialogue, technical cooperation, and reform initiatives among participating countries and institutions, supporting the integration of </w:t>
      </w:r>
      <w:r w:rsidR="006F7137" w:rsidRPr="00716D3E">
        <w:rPr>
          <w:rFonts w:ascii="Times New Roman" w:hAnsi="Times New Roman" w:cs="Times New Roman"/>
          <w:sz w:val="24"/>
          <w:szCs w:val="32"/>
        </w:rPr>
        <w:t>victim</w:t>
      </w:r>
      <w:r w:rsidRPr="00716D3E">
        <w:rPr>
          <w:rFonts w:ascii="Times New Roman" w:hAnsi="Times New Roman" w:cs="Times New Roman"/>
          <w:sz w:val="24"/>
          <w:szCs w:val="32"/>
        </w:rPr>
        <w:t>-</w:t>
      </w:r>
      <w:r w:rsidR="00037B79" w:rsidRPr="00716D3E">
        <w:rPr>
          <w:rFonts w:ascii="Times New Roman" w:hAnsi="Times New Roman" w:cs="Times New Roman"/>
          <w:sz w:val="24"/>
          <w:szCs w:val="32"/>
        </w:rPr>
        <w:t>centered</w:t>
      </w:r>
      <w:r w:rsidRPr="00716D3E">
        <w:rPr>
          <w:rFonts w:ascii="Times New Roman" w:hAnsi="Times New Roman" w:cs="Times New Roman"/>
          <w:sz w:val="24"/>
          <w:szCs w:val="32"/>
        </w:rPr>
        <w:t xml:space="preserve"> and rights-based approaches into ongoing or future justice reform processes.</w:t>
      </w:r>
    </w:p>
    <w:p w14:paraId="54CDB22F" w14:textId="3EBBB067" w:rsidR="00F900FB" w:rsidRPr="00716D3E" w:rsidRDefault="00337B52" w:rsidP="00710E87">
      <w:pPr>
        <w:pStyle w:val="ListParagraph"/>
        <w:numPr>
          <w:ilvl w:val="0"/>
          <w:numId w:val="6"/>
        </w:numPr>
        <w:spacing w:after="0" w:line="240" w:lineRule="auto"/>
        <w:jc w:val="thaiDistribute"/>
        <w:rPr>
          <w:szCs w:val="32"/>
        </w:rPr>
      </w:pPr>
      <w:r w:rsidRPr="00716D3E">
        <w:rPr>
          <w:rFonts w:ascii="Times New Roman" w:hAnsi="Times New Roman" w:cs="Times New Roman"/>
          <w:sz w:val="24"/>
          <w:szCs w:val="32"/>
        </w:rPr>
        <w:t>Gained</w:t>
      </w:r>
      <w:r w:rsidR="00F900FB" w:rsidRPr="00716D3E">
        <w:rPr>
          <w:rFonts w:ascii="Times New Roman" w:hAnsi="Times New Roman" w:cs="Times New Roman"/>
          <w:sz w:val="24"/>
          <w:szCs w:val="32"/>
        </w:rPr>
        <w:t xml:space="preserve"> clearer understanding of key challenges faced by victims of GBV when engaging with criminal justice processes, including barriers to access to justice and risks of secondary </w:t>
      </w:r>
      <w:r w:rsidR="00037B79" w:rsidRPr="00716D3E">
        <w:rPr>
          <w:rFonts w:ascii="Times New Roman" w:hAnsi="Times New Roman" w:cs="Times New Roman"/>
          <w:sz w:val="24"/>
          <w:szCs w:val="32"/>
        </w:rPr>
        <w:t>victimization</w:t>
      </w:r>
      <w:r w:rsidR="00F900FB" w:rsidRPr="00716D3E">
        <w:rPr>
          <w:rFonts w:ascii="Times New Roman" w:hAnsi="Times New Roman" w:cs="Times New Roman"/>
          <w:sz w:val="24"/>
          <w:szCs w:val="32"/>
        </w:rPr>
        <w:t xml:space="preserve">. </w:t>
      </w:r>
    </w:p>
    <w:p w14:paraId="23290A95" w14:textId="49526CB8" w:rsidR="00F900FB" w:rsidRPr="00716D3E" w:rsidRDefault="00F900FB" w:rsidP="00710E87">
      <w:pPr>
        <w:pStyle w:val="ListParagraph"/>
        <w:numPr>
          <w:ilvl w:val="0"/>
          <w:numId w:val="6"/>
        </w:numPr>
        <w:spacing w:after="0" w:line="240" w:lineRule="auto"/>
        <w:jc w:val="thaiDistribute"/>
        <w:rPr>
          <w:szCs w:val="32"/>
        </w:rPr>
      </w:pPr>
      <w:r w:rsidRPr="00716D3E">
        <w:rPr>
          <w:rFonts w:ascii="Times New Roman" w:hAnsi="Times New Roman" w:cs="Times New Roman"/>
          <w:sz w:val="24"/>
          <w:szCs w:val="32"/>
        </w:rPr>
        <w:t xml:space="preserve">Good practices and solutions exchanged among countries with shared commitments to strengthening access to justice, leading to shared strategies and legal or procedural innovations </w:t>
      </w:r>
      <w:r w:rsidRPr="00716D3E">
        <w:rPr>
          <w:rFonts w:ascii="Times New Roman" w:hAnsi="Times New Roman" w:cs="Times New Roman"/>
          <w:sz w:val="24"/>
          <w:szCs w:val="36"/>
        </w:rPr>
        <w:t xml:space="preserve">(such as law reform and the establishment of </w:t>
      </w:r>
      <w:r w:rsidR="00037B79" w:rsidRPr="00716D3E">
        <w:rPr>
          <w:rFonts w:ascii="Times New Roman" w:hAnsi="Times New Roman" w:cs="Times New Roman"/>
          <w:sz w:val="24"/>
          <w:szCs w:val="36"/>
        </w:rPr>
        <w:t>specialized</w:t>
      </w:r>
      <w:r w:rsidRPr="00716D3E">
        <w:rPr>
          <w:rFonts w:ascii="Times New Roman" w:hAnsi="Times New Roman" w:cs="Times New Roman"/>
          <w:sz w:val="24"/>
          <w:szCs w:val="36"/>
        </w:rPr>
        <w:t xml:space="preserve"> interview facilities) to address common obstacles and strengthen gaps in existing legal frameworks.</w:t>
      </w:r>
      <w:r w:rsidRPr="00716D3E" w:rsidDel="002E46BC">
        <w:rPr>
          <w:rFonts w:ascii="Times New Roman" w:hAnsi="Times New Roman" w:cs="Times New Roman"/>
          <w:sz w:val="32"/>
          <w:szCs w:val="32"/>
        </w:rPr>
        <w:t xml:space="preserve"> </w:t>
      </w:r>
    </w:p>
    <w:p w14:paraId="2E6C0BD8" w14:textId="53D21D17" w:rsidR="00F900FB" w:rsidRPr="00716D3E" w:rsidRDefault="00F900FB" w:rsidP="00710E87">
      <w:pPr>
        <w:pStyle w:val="ListParagraph"/>
        <w:numPr>
          <w:ilvl w:val="0"/>
          <w:numId w:val="6"/>
        </w:numPr>
        <w:spacing w:after="0" w:line="240" w:lineRule="auto"/>
        <w:jc w:val="thaiDistribute"/>
      </w:pPr>
      <w:r w:rsidRPr="00716D3E">
        <w:rPr>
          <w:rFonts w:ascii="Times New Roman" w:hAnsi="Times New Roman" w:cs="Times New Roman"/>
          <w:sz w:val="24"/>
          <w:szCs w:val="32"/>
        </w:rPr>
        <w:t>Effective tools and victim-</w:t>
      </w:r>
      <w:r w:rsidR="00037B79" w:rsidRPr="00716D3E">
        <w:rPr>
          <w:rFonts w:ascii="Times New Roman" w:hAnsi="Times New Roman" w:cs="Times New Roman"/>
          <w:sz w:val="24"/>
          <w:szCs w:val="32"/>
        </w:rPr>
        <w:t>centered</w:t>
      </w:r>
      <w:r w:rsidRPr="00716D3E">
        <w:rPr>
          <w:rFonts w:ascii="Times New Roman" w:hAnsi="Times New Roman" w:cs="Times New Roman"/>
          <w:sz w:val="24"/>
          <w:szCs w:val="32"/>
        </w:rPr>
        <w:t xml:space="preserve"> practices to enhance responsiveness of criminal justice systems identified, with a focus on enabling meaningful participation and </w:t>
      </w:r>
      <w:r w:rsidRPr="00716D3E">
        <w:rPr>
          <w:rFonts w:ascii="Times New Roman" w:hAnsi="Times New Roman" w:cs="Times New Roman"/>
          <w:sz w:val="24"/>
          <w:szCs w:val="24"/>
        </w:rPr>
        <w:t>reducing re-</w:t>
      </w:r>
      <w:r w:rsidR="00037B79" w:rsidRPr="00716D3E">
        <w:rPr>
          <w:rFonts w:ascii="Times New Roman" w:hAnsi="Times New Roman" w:cs="Times New Roman"/>
          <w:sz w:val="24"/>
          <w:szCs w:val="24"/>
        </w:rPr>
        <w:t>traumatization</w:t>
      </w:r>
      <w:r w:rsidRPr="00716D3E">
        <w:rPr>
          <w:rFonts w:ascii="Times New Roman" w:hAnsi="Times New Roman" w:cs="Times New Roman"/>
          <w:sz w:val="24"/>
          <w:szCs w:val="24"/>
        </w:rPr>
        <w:t>.</w:t>
      </w:r>
    </w:p>
    <w:p w14:paraId="5A4D48D0" w14:textId="2BB289AB" w:rsidR="00462EB8" w:rsidRPr="00710E87" w:rsidRDefault="00F900FB" w:rsidP="00710E87">
      <w:pPr>
        <w:pStyle w:val="ListParagraph"/>
        <w:numPr>
          <w:ilvl w:val="0"/>
          <w:numId w:val="6"/>
        </w:numPr>
        <w:jc w:val="thaiDistribute"/>
        <w:rPr>
          <w:rFonts w:ascii="Times New Roman" w:hAnsi="Times New Roman" w:cs="Times New Roman"/>
          <w:sz w:val="24"/>
          <w:szCs w:val="32"/>
        </w:rPr>
      </w:pPr>
      <w:r w:rsidRPr="00710E87">
        <w:rPr>
          <w:rFonts w:ascii="Times New Roman" w:hAnsi="Times New Roman" w:cs="Times New Roman"/>
          <w:sz w:val="24"/>
          <w:szCs w:val="32"/>
        </w:rPr>
        <w:t>Comparati</w:t>
      </w:r>
      <w:r w:rsidR="00337B52" w:rsidRPr="00710E87">
        <w:rPr>
          <w:rFonts w:ascii="Times New Roman" w:hAnsi="Times New Roman" w:cs="Times New Roman"/>
          <w:sz w:val="24"/>
          <w:szCs w:val="32"/>
        </w:rPr>
        <w:t>v</w:t>
      </w:r>
      <w:r w:rsidRPr="00710E87">
        <w:rPr>
          <w:rFonts w:ascii="Times New Roman" w:hAnsi="Times New Roman" w:cs="Times New Roman"/>
          <w:sz w:val="24"/>
          <w:szCs w:val="32"/>
        </w:rPr>
        <w:t>e insights and information gathered from participating countries to support ongoing law reform which aims at strengthening victim-</w:t>
      </w:r>
      <w:r w:rsidR="00037B79" w:rsidRPr="00710E87">
        <w:rPr>
          <w:rFonts w:ascii="Times New Roman" w:hAnsi="Times New Roman" w:cs="Times New Roman"/>
          <w:sz w:val="24"/>
          <w:szCs w:val="32"/>
        </w:rPr>
        <w:t>centered</w:t>
      </w:r>
      <w:r w:rsidRPr="00710E87">
        <w:rPr>
          <w:rFonts w:ascii="Times New Roman" w:hAnsi="Times New Roman" w:cs="Times New Roman"/>
          <w:sz w:val="24"/>
          <w:szCs w:val="32"/>
        </w:rPr>
        <w:t xml:space="preserve"> access to justice for all women and girls.</w:t>
      </w:r>
    </w:p>
    <w:p w14:paraId="266FF66D" w14:textId="77777777" w:rsidR="009764C3" w:rsidRPr="00716D3E" w:rsidRDefault="009764C3" w:rsidP="00710E87">
      <w:pPr>
        <w:jc w:val="thaiDistribute"/>
        <w:rPr>
          <w:b/>
          <w:bCs/>
        </w:rPr>
      </w:pPr>
    </w:p>
    <w:p w14:paraId="0780377E" w14:textId="1066EF43" w:rsidR="009764C3" w:rsidRPr="00716D3E" w:rsidRDefault="005834DC" w:rsidP="00710E87">
      <w:pPr>
        <w:jc w:val="thaiDistribute"/>
        <w:rPr>
          <w:b/>
          <w:bCs/>
        </w:rPr>
      </w:pPr>
      <w:r w:rsidRPr="00716D3E">
        <w:rPr>
          <w:b/>
          <w:bCs/>
        </w:rPr>
        <w:t>Date and Venue</w:t>
      </w:r>
      <w:r w:rsidR="00B91CF0" w:rsidRPr="00716D3E">
        <w:rPr>
          <w:b/>
          <w:bCs/>
        </w:rPr>
        <w:t xml:space="preserve"> (TBC)</w:t>
      </w:r>
      <w:r w:rsidRPr="00716D3E">
        <w:rPr>
          <w:b/>
          <w:bCs/>
        </w:rPr>
        <w:t>:</w:t>
      </w:r>
    </w:p>
    <w:p w14:paraId="39DFE377" w14:textId="0A491FA6" w:rsidR="005834DC" w:rsidRPr="00716D3E" w:rsidRDefault="00FA1891" w:rsidP="00710E87">
      <w:pPr>
        <w:jc w:val="thaiDistribute"/>
        <w:rPr>
          <w:cs/>
        </w:rPr>
      </w:pPr>
      <w:r w:rsidRPr="00716D3E">
        <w:t>Friday 13 March 2026</w:t>
      </w:r>
      <w:r w:rsidR="005C6409" w:rsidRPr="00716D3E">
        <w:t xml:space="preserve"> </w:t>
      </w:r>
      <w:r w:rsidR="00BD0240" w:rsidRPr="00716D3E">
        <w:t>at UN premises</w:t>
      </w:r>
    </w:p>
    <w:p w14:paraId="49BC7926" w14:textId="77777777" w:rsidR="009764C3" w:rsidRPr="00716D3E" w:rsidRDefault="009764C3" w:rsidP="00710E87">
      <w:pPr>
        <w:jc w:val="thaiDistribute"/>
        <w:rPr>
          <w:b/>
          <w:bCs/>
        </w:rPr>
      </w:pPr>
    </w:p>
    <w:p w14:paraId="0DE252A6" w14:textId="7586A6DE" w:rsidR="005834DC" w:rsidRPr="00716D3E" w:rsidRDefault="005834DC" w:rsidP="00710E87">
      <w:pPr>
        <w:jc w:val="thaiDistribute"/>
        <w:rPr>
          <w:b/>
          <w:bCs/>
        </w:rPr>
      </w:pPr>
      <w:r w:rsidRPr="00716D3E">
        <w:rPr>
          <w:b/>
          <w:bCs/>
        </w:rPr>
        <w:t>Expected Number of In-Person Participants:</w:t>
      </w:r>
    </w:p>
    <w:p w14:paraId="5D60A228" w14:textId="77777777" w:rsidR="009764C3" w:rsidRPr="00716D3E" w:rsidRDefault="009764C3" w:rsidP="00710E87">
      <w:pPr>
        <w:jc w:val="thaiDistribute"/>
        <w:rPr>
          <w:b/>
          <w:bCs/>
        </w:rPr>
      </w:pPr>
    </w:p>
    <w:p w14:paraId="108A4139" w14:textId="6C3137F6" w:rsidR="009764C3" w:rsidRPr="00716D3E" w:rsidRDefault="00E9565D" w:rsidP="00710E87">
      <w:pPr>
        <w:jc w:val="thaiDistribute"/>
      </w:pPr>
      <w:r w:rsidRPr="00716D3E">
        <w:t xml:space="preserve">The event will convene approximately </w:t>
      </w:r>
      <w:r w:rsidRPr="00716D3E">
        <w:rPr>
          <w:b/>
          <w:bCs/>
        </w:rPr>
        <w:t>50 participants</w:t>
      </w:r>
      <w:r w:rsidRPr="00716D3E">
        <w:t xml:space="preserve">, drawn from a diverse range of </w:t>
      </w:r>
      <w:r w:rsidRPr="00716D3E">
        <w:rPr>
          <w:b/>
          <w:bCs/>
        </w:rPr>
        <w:t xml:space="preserve">Member State representatives, government institutions, UN agencies, and civil society </w:t>
      </w:r>
      <w:r w:rsidR="00037B79" w:rsidRPr="00716D3E">
        <w:rPr>
          <w:b/>
          <w:bCs/>
        </w:rPr>
        <w:t>organizations</w:t>
      </w:r>
      <w:r w:rsidRPr="00716D3E">
        <w:t xml:space="preserve">, including policymakers, justice and social service practitioners, women’s rights </w:t>
      </w:r>
      <w:r w:rsidR="00037B79" w:rsidRPr="00716D3E">
        <w:t>organizations</w:t>
      </w:r>
      <w:r w:rsidRPr="00716D3E">
        <w:t xml:space="preserve">, and </w:t>
      </w:r>
      <w:r w:rsidR="00037B79" w:rsidRPr="00716D3E">
        <w:t>specialized</w:t>
      </w:r>
      <w:r w:rsidRPr="00716D3E">
        <w:t xml:space="preserve"> CSOs working on gender-based violence, </w:t>
      </w:r>
      <w:r w:rsidR="008B1CBE" w:rsidRPr="00716D3E">
        <w:rPr>
          <w:rFonts w:cs="Angsana New"/>
          <w:szCs w:val="30"/>
        </w:rPr>
        <w:t>victim</w:t>
      </w:r>
      <w:r w:rsidRPr="00716D3E">
        <w:t xml:space="preserve"> support, and access to justice.</w:t>
      </w:r>
    </w:p>
    <w:p w14:paraId="729C50FA" w14:textId="77777777" w:rsidR="009764C3" w:rsidRPr="00716D3E" w:rsidRDefault="009764C3" w:rsidP="00710E87">
      <w:pPr>
        <w:jc w:val="thaiDistribute"/>
        <w:rPr>
          <w:b/>
          <w:bCs/>
        </w:rPr>
      </w:pPr>
    </w:p>
    <w:p w14:paraId="3E255641" w14:textId="604C8522" w:rsidR="005C6409" w:rsidRPr="00716D3E" w:rsidRDefault="005C6409" w:rsidP="00710E87">
      <w:pPr>
        <w:jc w:val="thaiDistribute"/>
        <w:rPr>
          <w:b/>
          <w:bCs/>
        </w:rPr>
      </w:pPr>
      <w:r w:rsidRPr="00716D3E">
        <w:rPr>
          <w:b/>
          <w:bCs/>
        </w:rPr>
        <w:t>Format of the Side Event:</w:t>
      </w:r>
    </w:p>
    <w:p w14:paraId="7049AE3C" w14:textId="0544DA29" w:rsidR="005C6409" w:rsidRPr="00716D3E" w:rsidRDefault="005C6409" w:rsidP="00710E87">
      <w:pPr>
        <w:jc w:val="thaiDistribute"/>
      </w:pPr>
      <w:r w:rsidRPr="00716D3E">
        <w:t>Hybrid</w:t>
      </w:r>
    </w:p>
    <w:p w14:paraId="1A1DEBC6" w14:textId="77777777" w:rsidR="00BD0240" w:rsidRPr="00716D3E" w:rsidRDefault="00BD0240" w:rsidP="00710E87">
      <w:pPr>
        <w:jc w:val="thaiDistribute"/>
        <w:rPr>
          <w:b/>
          <w:bCs/>
        </w:rPr>
      </w:pPr>
    </w:p>
    <w:p w14:paraId="228F9C59" w14:textId="51ED3ACA" w:rsidR="00E14457" w:rsidRPr="00716D3E" w:rsidRDefault="00BD0240" w:rsidP="00710E87">
      <w:pPr>
        <w:jc w:val="thaiDistribute"/>
        <w:rPr>
          <w:b/>
          <w:bCs/>
        </w:rPr>
      </w:pPr>
      <w:r w:rsidRPr="00716D3E">
        <w:rPr>
          <w:b/>
          <w:bCs/>
        </w:rPr>
        <w:t xml:space="preserve">Structure of the Side Event: </w:t>
      </w:r>
      <w:r w:rsidR="00320D8B" w:rsidRPr="00716D3E">
        <w:t>TBC</w:t>
      </w:r>
    </w:p>
    <w:p w14:paraId="48733F9C" w14:textId="77777777" w:rsidR="00C97F2A" w:rsidRPr="00716D3E" w:rsidRDefault="00C97F2A" w:rsidP="00710E87">
      <w:pPr>
        <w:jc w:val="thaiDistribute"/>
        <w:rPr>
          <w:b/>
          <w:bCs/>
        </w:rPr>
      </w:pPr>
    </w:p>
    <w:p w14:paraId="233EDE43" w14:textId="35062982" w:rsidR="005976F0" w:rsidRPr="00716D3E" w:rsidRDefault="005976F0" w:rsidP="00710E87">
      <w:pPr>
        <w:jc w:val="thaiDistribute"/>
        <w:rPr>
          <w:b/>
          <w:bCs/>
        </w:rPr>
      </w:pPr>
      <w:r w:rsidRPr="00716D3E">
        <w:rPr>
          <w:b/>
          <w:bCs/>
        </w:rPr>
        <w:t>Tentative Agenda (Panel Format, 90 minutes)</w:t>
      </w:r>
    </w:p>
    <w:p w14:paraId="3DE17D11" w14:textId="77777777" w:rsidR="005976F0" w:rsidRPr="00716D3E" w:rsidRDefault="005976F0" w:rsidP="00710E87">
      <w:pPr>
        <w:jc w:val="thaiDistribute"/>
        <w:rPr>
          <w:i/>
          <w:iCs/>
        </w:rPr>
      </w:pPr>
      <w:r w:rsidRPr="00716D3E">
        <w:rPr>
          <w:i/>
          <w:iCs/>
        </w:rPr>
        <w:t>(Indicative and subject to confirmation)</w:t>
      </w:r>
    </w:p>
    <w:p w14:paraId="4F33A57A" w14:textId="77777777" w:rsidR="00CB29F2" w:rsidRDefault="00CB29F2" w:rsidP="00710E87">
      <w:pPr>
        <w:jc w:val="thaiDistribute"/>
      </w:pPr>
    </w:p>
    <w:p w14:paraId="4E4B67B2" w14:textId="77777777" w:rsidR="005961BF" w:rsidRPr="00716D3E" w:rsidRDefault="005961BF" w:rsidP="00710E87">
      <w:pPr>
        <w:jc w:val="thaiDistribute"/>
      </w:pPr>
    </w:p>
    <w:p w14:paraId="01DFA5A5" w14:textId="77777777" w:rsidR="00CB29F2" w:rsidRPr="00716D3E" w:rsidRDefault="00CB29F2" w:rsidP="00710E87">
      <w:pPr>
        <w:jc w:val="thaiDistribute"/>
      </w:pPr>
    </w:p>
    <w:tbl>
      <w:tblPr>
        <w:tblStyle w:val="PlainTable1"/>
        <w:tblW w:w="9776" w:type="dxa"/>
        <w:tblInd w:w="-147" w:type="dxa"/>
        <w:tblLook w:val="04A0" w:firstRow="1" w:lastRow="0" w:firstColumn="1" w:lastColumn="0" w:noHBand="0" w:noVBand="1"/>
      </w:tblPr>
      <w:tblGrid>
        <w:gridCol w:w="1150"/>
        <w:gridCol w:w="4226"/>
        <w:gridCol w:w="4400"/>
      </w:tblGrid>
      <w:tr w:rsidR="00716D3E" w:rsidRPr="00716D3E" w14:paraId="08DB66AF" w14:textId="77777777" w:rsidTr="00710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87CF05" w14:textId="1BA80FB6" w:rsidR="005976F0" w:rsidRPr="00716D3E" w:rsidRDefault="00984097" w:rsidP="00710E87">
            <w:pPr>
              <w:jc w:val="thaiDistribute"/>
              <w:rPr>
                <w:b w:val="0"/>
                <w:bCs w:val="0"/>
              </w:rPr>
            </w:pPr>
            <w:r>
              <w:lastRenderedPageBreak/>
              <w:t>Duration</w:t>
            </w:r>
          </w:p>
        </w:tc>
        <w:tc>
          <w:tcPr>
            <w:tcW w:w="4301" w:type="dxa"/>
            <w:hideMark/>
          </w:tcPr>
          <w:p w14:paraId="0B1D9E21" w14:textId="04BDDFE9" w:rsidR="005976F0" w:rsidRPr="00716D3E" w:rsidRDefault="005976F0" w:rsidP="00710E87">
            <w:pPr>
              <w:jc w:val="thaiDistribute"/>
              <w:cnfStyle w:val="100000000000" w:firstRow="1" w:lastRow="0" w:firstColumn="0" w:lastColumn="0" w:oddVBand="0" w:evenVBand="0" w:oddHBand="0" w:evenHBand="0" w:firstRowFirstColumn="0" w:firstRowLastColumn="0" w:lastRowFirstColumn="0" w:lastRowLastColumn="0"/>
              <w:rPr>
                <w:b w:val="0"/>
                <w:bCs w:val="0"/>
              </w:rPr>
            </w:pPr>
            <w:r w:rsidRPr="00716D3E">
              <w:t xml:space="preserve">Session </w:t>
            </w:r>
          </w:p>
        </w:tc>
        <w:tc>
          <w:tcPr>
            <w:tcW w:w="4484" w:type="dxa"/>
            <w:hideMark/>
          </w:tcPr>
          <w:p w14:paraId="0A480B05" w14:textId="6FAB6C0B" w:rsidR="005976F0" w:rsidRPr="00716D3E" w:rsidRDefault="005976F0" w:rsidP="00710E87">
            <w:pPr>
              <w:jc w:val="thaiDistribute"/>
              <w:cnfStyle w:val="100000000000" w:firstRow="1" w:lastRow="0" w:firstColumn="0" w:lastColumn="0" w:oddVBand="0" w:evenVBand="0" w:oddHBand="0" w:evenHBand="0" w:firstRowFirstColumn="0" w:firstRowLastColumn="0" w:lastRowFirstColumn="0" w:lastRowLastColumn="0"/>
              <w:rPr>
                <w:b w:val="0"/>
                <w:bCs w:val="0"/>
              </w:rPr>
            </w:pPr>
            <w:r w:rsidRPr="00716D3E">
              <w:t xml:space="preserve">Guidance </w:t>
            </w:r>
          </w:p>
        </w:tc>
      </w:tr>
      <w:tr w:rsidR="00716D3E" w:rsidRPr="00716D3E" w14:paraId="19F664BD" w14:textId="77777777" w:rsidTr="00710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EECF6" w14:textId="77777777" w:rsidR="005976F0" w:rsidRPr="00716D3E" w:rsidRDefault="005976F0" w:rsidP="00710E87">
            <w:pPr>
              <w:jc w:val="thaiDistribute"/>
              <w:rPr>
                <w:b w:val="0"/>
                <w:bCs w:val="0"/>
              </w:rPr>
            </w:pPr>
            <w:r w:rsidRPr="00716D3E">
              <w:t>00:00 – 00:10</w:t>
            </w:r>
          </w:p>
        </w:tc>
        <w:tc>
          <w:tcPr>
            <w:tcW w:w="4301" w:type="dxa"/>
            <w:hideMark/>
          </w:tcPr>
          <w:p w14:paraId="36F698EA" w14:textId="328F9EC2" w:rsidR="005976F0" w:rsidRPr="009A3778" w:rsidRDefault="005976F0" w:rsidP="00037B79">
            <w:pPr>
              <w:cnfStyle w:val="000000100000" w:firstRow="0" w:lastRow="0" w:firstColumn="0" w:lastColumn="0" w:oddVBand="0" w:evenVBand="0" w:oddHBand="1" w:evenHBand="0" w:firstRowFirstColumn="0" w:firstRowLastColumn="0" w:lastRowFirstColumn="0" w:lastRowLastColumn="0"/>
              <w:rPr>
                <w:color w:val="EE0000"/>
              </w:rPr>
            </w:pPr>
            <w:r w:rsidRPr="009A3778">
              <w:rPr>
                <w:color w:val="EE0000"/>
              </w:rPr>
              <w:t xml:space="preserve">Opening Remarks and Session Framing </w:t>
            </w:r>
            <w:r w:rsidRPr="009A3778">
              <w:rPr>
                <w:color w:val="EE0000"/>
              </w:rPr>
              <w:br/>
            </w:r>
            <w:r w:rsidRPr="009A3778">
              <w:rPr>
                <w:i/>
                <w:iCs/>
                <w:color w:val="EE0000"/>
              </w:rPr>
              <w:t xml:space="preserve">(Moderator / </w:t>
            </w:r>
            <w:r w:rsidR="00037B79" w:rsidRPr="009A3778">
              <w:rPr>
                <w:i/>
                <w:iCs/>
                <w:color w:val="EE0000"/>
              </w:rPr>
              <w:t>Organizers</w:t>
            </w:r>
            <w:r w:rsidRPr="009A3778">
              <w:rPr>
                <w:i/>
                <w:iCs/>
                <w:color w:val="EE0000"/>
              </w:rPr>
              <w:t>)</w:t>
            </w:r>
          </w:p>
          <w:p w14:paraId="23F92BF7" w14:textId="77745B17" w:rsidR="009A3778" w:rsidRPr="009A3778" w:rsidRDefault="009A3778" w:rsidP="009A3778">
            <w:pPr>
              <w:cnfStyle w:val="000000100000" w:firstRow="0" w:lastRow="0" w:firstColumn="0" w:lastColumn="0" w:oddVBand="0" w:evenVBand="0" w:oddHBand="1" w:evenHBand="0" w:firstRowFirstColumn="0" w:firstRowLastColumn="0" w:lastRowFirstColumn="0" w:lastRowLastColumn="0"/>
              <w:rPr>
                <w:color w:val="EE0000"/>
              </w:rPr>
            </w:pPr>
            <w:proofErr w:type="spellStart"/>
            <w:r w:rsidRPr="009A3778">
              <w:rPr>
                <w:color w:val="EE0000"/>
              </w:rPr>
              <w:t>H.E.</w:t>
            </w:r>
            <w:proofErr w:type="gramStart"/>
            <w:r w:rsidRPr="009A3778">
              <w:rPr>
                <w:color w:val="EE0000"/>
              </w:rPr>
              <w:t>Mr.Akkhara</w:t>
            </w:r>
            <w:proofErr w:type="spellEnd"/>
            <w:proofErr w:type="gramEnd"/>
            <w:r w:rsidRPr="009A3778">
              <w:rPr>
                <w:color w:val="EE0000"/>
              </w:rPr>
              <w:t xml:space="preserve"> PROMPOW</w:t>
            </w:r>
          </w:p>
          <w:p w14:paraId="45D58BB5" w14:textId="54F341A5" w:rsidR="00CB29F2" w:rsidRPr="00716D3E" w:rsidRDefault="009A3778" w:rsidP="009A3778">
            <w:pPr>
              <w:cnfStyle w:val="000000100000" w:firstRow="0" w:lastRow="0" w:firstColumn="0" w:lastColumn="0" w:oddVBand="0" w:evenVBand="0" w:oddHBand="1" w:evenHBand="0" w:firstRowFirstColumn="0" w:firstRowLastColumn="0" w:lastRowFirstColumn="0" w:lastRowLastColumn="0"/>
            </w:pPr>
            <w:r w:rsidRPr="009A3778">
              <w:rPr>
                <w:color w:val="EE0000"/>
              </w:rPr>
              <w:t xml:space="preserve">Minister of Social Development and Human Security, </w:t>
            </w:r>
            <w:r w:rsidR="00CB29F2" w:rsidRPr="009A3778">
              <w:rPr>
                <w:color w:val="EE0000"/>
              </w:rPr>
              <w:t xml:space="preserve">Head of Thai delegation </w:t>
            </w:r>
          </w:p>
        </w:tc>
        <w:tc>
          <w:tcPr>
            <w:tcW w:w="4484" w:type="dxa"/>
            <w:hideMark/>
          </w:tcPr>
          <w:p w14:paraId="2C5D7FA3" w14:textId="3C0175B3" w:rsidR="005976F0" w:rsidRPr="00716D3E" w:rsidRDefault="005976F0" w:rsidP="00037B79">
            <w:pPr>
              <w:cnfStyle w:val="000000100000" w:firstRow="0" w:lastRow="0" w:firstColumn="0" w:lastColumn="0" w:oddVBand="0" w:evenVBand="0" w:oddHBand="1" w:evenHBand="0" w:firstRowFirstColumn="0" w:firstRowLastColumn="0" w:lastRowFirstColumn="0" w:lastRowLastColumn="0"/>
            </w:pPr>
            <w:r w:rsidRPr="00716D3E">
              <w:t xml:space="preserve">• Introduce the purpose of the side event and its link to CSW70 and access to justice </w:t>
            </w:r>
            <w:r w:rsidRPr="00716D3E">
              <w:br/>
              <w:t>• Clarify that the session focuses on criminal justice processes and victim-</w:t>
            </w:r>
            <w:r w:rsidR="00037B79" w:rsidRPr="00716D3E">
              <w:t>centered</w:t>
            </w:r>
            <w:r w:rsidRPr="00716D3E">
              <w:t xml:space="preserve"> responses </w:t>
            </w:r>
            <w:r w:rsidRPr="00716D3E">
              <w:br/>
              <w:t>• Outline how the panel discussion will be structured</w:t>
            </w:r>
          </w:p>
        </w:tc>
      </w:tr>
      <w:tr w:rsidR="00716D3E" w:rsidRPr="00716D3E" w14:paraId="3950CB01" w14:textId="77777777" w:rsidTr="00710E87">
        <w:tc>
          <w:tcPr>
            <w:cnfStyle w:val="001000000000" w:firstRow="0" w:lastRow="0" w:firstColumn="1" w:lastColumn="0" w:oddVBand="0" w:evenVBand="0" w:oddHBand="0" w:evenHBand="0" w:firstRowFirstColumn="0" w:firstRowLastColumn="0" w:lastRowFirstColumn="0" w:lastRowLastColumn="0"/>
            <w:tcW w:w="0" w:type="auto"/>
            <w:hideMark/>
          </w:tcPr>
          <w:p w14:paraId="1C8355F1" w14:textId="77777777" w:rsidR="005976F0" w:rsidRPr="00716D3E" w:rsidRDefault="005976F0" w:rsidP="00710E87">
            <w:pPr>
              <w:jc w:val="thaiDistribute"/>
              <w:rPr>
                <w:b w:val="0"/>
                <w:bCs w:val="0"/>
              </w:rPr>
            </w:pPr>
            <w:r w:rsidRPr="00716D3E">
              <w:t>00:10 – 00:20</w:t>
            </w:r>
          </w:p>
        </w:tc>
        <w:tc>
          <w:tcPr>
            <w:tcW w:w="4301" w:type="dxa"/>
            <w:hideMark/>
          </w:tcPr>
          <w:p w14:paraId="7584C9A0" w14:textId="61454C4D" w:rsidR="005976F0" w:rsidRPr="00716D3E" w:rsidRDefault="005976F0" w:rsidP="00037B79">
            <w:pPr>
              <w:cnfStyle w:val="000000000000" w:firstRow="0" w:lastRow="0" w:firstColumn="0" w:lastColumn="0" w:oddVBand="0" w:evenVBand="0" w:oddHBand="0" w:evenHBand="0" w:firstRowFirstColumn="0" w:firstRowLastColumn="0" w:lastRowFirstColumn="0" w:lastRowLastColumn="0"/>
            </w:pPr>
            <w:r w:rsidRPr="00716D3E">
              <w:t>Setting the Context: Victim-</w:t>
            </w:r>
            <w:r w:rsidR="00037B79" w:rsidRPr="00716D3E">
              <w:t>Centered</w:t>
            </w:r>
            <w:r w:rsidRPr="00716D3E">
              <w:t xml:space="preserve"> Access to Justice </w:t>
            </w:r>
            <w:r w:rsidRPr="00716D3E">
              <w:br/>
            </w:r>
            <w:r w:rsidRPr="00716D3E">
              <w:rPr>
                <w:i/>
                <w:iCs/>
              </w:rPr>
              <w:t>(Framing input – 1 speaker)</w:t>
            </w:r>
          </w:p>
        </w:tc>
        <w:tc>
          <w:tcPr>
            <w:tcW w:w="4484" w:type="dxa"/>
            <w:hideMark/>
          </w:tcPr>
          <w:p w14:paraId="0237FF7B" w14:textId="392CDA47" w:rsidR="005976F0" w:rsidRPr="00716D3E" w:rsidRDefault="005976F0" w:rsidP="00037B79">
            <w:pPr>
              <w:cnfStyle w:val="000000000000" w:firstRow="0" w:lastRow="0" w:firstColumn="0" w:lastColumn="0" w:oddVBand="0" w:evenVBand="0" w:oddHBand="0" w:evenHBand="0" w:firstRowFirstColumn="0" w:firstRowLastColumn="0" w:lastRowFirstColumn="0" w:lastRowLastColumn="0"/>
            </w:pPr>
            <w:r w:rsidRPr="00716D3E">
              <w:t xml:space="preserve">• Provide a brief conceptual framing of “access to justice” beyond reporting </w:t>
            </w:r>
            <w:r w:rsidRPr="00716D3E">
              <w:br/>
              <w:t xml:space="preserve">• Highlight common justice-system barriers and risks of secondary </w:t>
            </w:r>
            <w:r w:rsidR="00037B79" w:rsidRPr="00716D3E">
              <w:t>victimization</w:t>
            </w:r>
            <w:r w:rsidRPr="00716D3E">
              <w:t xml:space="preserve"> </w:t>
            </w:r>
            <w:r w:rsidRPr="00716D3E">
              <w:br/>
              <w:t xml:space="preserve">• Set the analytical lens that </w:t>
            </w:r>
            <w:r w:rsidR="00037B79" w:rsidRPr="00716D3E">
              <w:t>panelists</w:t>
            </w:r>
            <w:r w:rsidRPr="00716D3E">
              <w:t xml:space="preserve"> should use in their interventions</w:t>
            </w:r>
          </w:p>
        </w:tc>
      </w:tr>
      <w:tr w:rsidR="00716D3E" w:rsidRPr="00716D3E" w14:paraId="3FAB5F76" w14:textId="77777777" w:rsidTr="00710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88BD7B" w14:textId="77777777" w:rsidR="005976F0" w:rsidRPr="00716D3E" w:rsidRDefault="005976F0" w:rsidP="00710E87">
            <w:pPr>
              <w:jc w:val="thaiDistribute"/>
              <w:rPr>
                <w:b w:val="0"/>
                <w:bCs w:val="0"/>
              </w:rPr>
            </w:pPr>
            <w:r w:rsidRPr="00716D3E">
              <w:t>00:20 – 01:05</w:t>
            </w:r>
          </w:p>
        </w:tc>
        <w:tc>
          <w:tcPr>
            <w:tcW w:w="4301" w:type="dxa"/>
            <w:hideMark/>
          </w:tcPr>
          <w:p w14:paraId="77D9F989" w14:textId="10540CA6" w:rsidR="005976F0" w:rsidRPr="00716D3E" w:rsidRDefault="005976F0" w:rsidP="00037B79">
            <w:pPr>
              <w:cnfStyle w:val="000000100000" w:firstRow="0" w:lastRow="0" w:firstColumn="0" w:lastColumn="0" w:oddVBand="0" w:evenVBand="0" w:oddHBand="1" w:evenHBand="0" w:firstRowFirstColumn="0" w:firstRowLastColumn="0" w:lastRowFirstColumn="0" w:lastRowLastColumn="0"/>
            </w:pPr>
            <w:r w:rsidRPr="00716D3E">
              <w:t>Panel Discussion: Comparative Approaches to Victim-</w:t>
            </w:r>
            <w:r w:rsidR="00037B79" w:rsidRPr="00716D3E">
              <w:t>Centered</w:t>
            </w:r>
            <w:r w:rsidRPr="00716D3E">
              <w:t xml:space="preserve"> Justice in Criminal Justice Systems (or Comparative Experiences from ASEAN Civil Law Jurisdictions)</w:t>
            </w:r>
            <w:r w:rsidRPr="00716D3E">
              <w:br/>
            </w:r>
            <w:r w:rsidRPr="00716D3E">
              <w:rPr>
                <w:i/>
                <w:iCs/>
              </w:rPr>
              <w:t xml:space="preserve">(Panel format – 3–4 </w:t>
            </w:r>
            <w:r w:rsidR="00037B79" w:rsidRPr="00716D3E">
              <w:rPr>
                <w:i/>
                <w:iCs/>
              </w:rPr>
              <w:t>panelists</w:t>
            </w:r>
            <w:r w:rsidRPr="00716D3E">
              <w:rPr>
                <w:i/>
                <w:iCs/>
              </w:rPr>
              <w:t>)</w:t>
            </w:r>
          </w:p>
        </w:tc>
        <w:tc>
          <w:tcPr>
            <w:tcW w:w="4484" w:type="dxa"/>
            <w:hideMark/>
          </w:tcPr>
          <w:p w14:paraId="00470585" w14:textId="70FDCC9A" w:rsidR="005976F0" w:rsidRPr="00716D3E" w:rsidRDefault="005976F0" w:rsidP="00037B79">
            <w:pPr>
              <w:cnfStyle w:val="000000100000" w:firstRow="0" w:lastRow="0" w:firstColumn="0" w:lastColumn="0" w:oddVBand="0" w:evenVBand="0" w:oddHBand="1" w:evenHBand="0" w:firstRowFirstColumn="0" w:firstRowLastColumn="0" w:lastRowFirstColumn="0" w:lastRowLastColumn="0"/>
            </w:pPr>
            <w:r w:rsidRPr="00716D3E">
              <w:t xml:space="preserve">Each </w:t>
            </w:r>
            <w:r w:rsidR="00037B79" w:rsidRPr="00716D3E">
              <w:t>panelist</w:t>
            </w:r>
            <w:r w:rsidRPr="00716D3E">
              <w:t xml:space="preserve"> (5–7 minutes) is invited to address: </w:t>
            </w:r>
            <w:r w:rsidRPr="00716D3E">
              <w:br/>
              <w:t xml:space="preserve">• One key barrier victims face in criminal justice processes in their context </w:t>
            </w:r>
            <w:r w:rsidRPr="00716D3E">
              <w:br/>
              <w:t>• One legal, procedural, or institutional practice that has helped strengthen victim-</w:t>
            </w:r>
            <w:r w:rsidR="00037B79" w:rsidRPr="00716D3E">
              <w:t>centered</w:t>
            </w:r>
            <w:r w:rsidRPr="00716D3E">
              <w:t xml:space="preserve"> access to justice </w:t>
            </w:r>
            <w:r w:rsidRPr="00716D3E">
              <w:br/>
              <w:t>• One lesson learned or challenge in implementation</w:t>
            </w:r>
          </w:p>
        </w:tc>
      </w:tr>
      <w:tr w:rsidR="00716D3E" w:rsidRPr="00716D3E" w14:paraId="6413113C" w14:textId="77777777" w:rsidTr="00710E87">
        <w:tc>
          <w:tcPr>
            <w:cnfStyle w:val="001000000000" w:firstRow="0" w:lastRow="0" w:firstColumn="1" w:lastColumn="0" w:oddVBand="0" w:evenVBand="0" w:oddHBand="0" w:evenHBand="0" w:firstRowFirstColumn="0" w:firstRowLastColumn="0" w:lastRowFirstColumn="0" w:lastRowLastColumn="0"/>
            <w:tcW w:w="0" w:type="auto"/>
            <w:hideMark/>
          </w:tcPr>
          <w:p w14:paraId="2C7A08C9" w14:textId="77777777" w:rsidR="005976F0" w:rsidRPr="00716D3E" w:rsidRDefault="005976F0" w:rsidP="00710E87">
            <w:pPr>
              <w:jc w:val="thaiDistribute"/>
              <w:rPr>
                <w:b w:val="0"/>
                <w:bCs w:val="0"/>
              </w:rPr>
            </w:pPr>
            <w:r w:rsidRPr="00716D3E">
              <w:t>01:05 – 01:25</w:t>
            </w:r>
          </w:p>
        </w:tc>
        <w:tc>
          <w:tcPr>
            <w:tcW w:w="4301" w:type="dxa"/>
            <w:hideMark/>
          </w:tcPr>
          <w:p w14:paraId="60AFE3DB" w14:textId="1CADD77D" w:rsidR="005976F0" w:rsidRPr="00716D3E" w:rsidRDefault="005976F0" w:rsidP="00037B79">
            <w:pPr>
              <w:cnfStyle w:val="000000000000" w:firstRow="0" w:lastRow="0" w:firstColumn="0" w:lastColumn="0" w:oddVBand="0" w:evenVBand="0" w:oddHBand="0" w:evenHBand="0" w:firstRowFirstColumn="0" w:firstRowLastColumn="0" w:lastRowFirstColumn="0" w:lastRowLastColumn="0"/>
            </w:pPr>
            <w:r w:rsidRPr="00716D3E">
              <w:t xml:space="preserve">Moderated Q&amp;A and Interactive Exchange </w:t>
            </w:r>
            <w:r w:rsidRPr="00716D3E">
              <w:br/>
            </w:r>
            <w:r w:rsidRPr="00716D3E">
              <w:rPr>
                <w:i/>
                <w:iCs/>
              </w:rPr>
              <w:t xml:space="preserve">(Moderator + </w:t>
            </w:r>
            <w:r w:rsidR="00037B79" w:rsidRPr="00716D3E">
              <w:rPr>
                <w:i/>
                <w:iCs/>
              </w:rPr>
              <w:t>panelists</w:t>
            </w:r>
            <w:r w:rsidRPr="00716D3E">
              <w:rPr>
                <w:i/>
                <w:iCs/>
              </w:rPr>
              <w:t>)</w:t>
            </w:r>
          </w:p>
        </w:tc>
        <w:tc>
          <w:tcPr>
            <w:tcW w:w="4484" w:type="dxa"/>
            <w:hideMark/>
          </w:tcPr>
          <w:p w14:paraId="56C5246B" w14:textId="77777777" w:rsidR="005976F0" w:rsidRPr="00716D3E" w:rsidRDefault="005976F0" w:rsidP="00037B79">
            <w:pPr>
              <w:cnfStyle w:val="000000000000" w:firstRow="0" w:lastRow="0" w:firstColumn="0" w:lastColumn="0" w:oddVBand="0" w:evenVBand="0" w:oddHBand="0" w:evenHBand="0" w:firstRowFirstColumn="0" w:firstRowLastColumn="0" w:lastRowFirstColumn="0" w:lastRowLastColumn="0"/>
            </w:pPr>
            <w:r w:rsidRPr="00716D3E">
              <w:t xml:space="preserve">• Respond to questions from the moderator and participants </w:t>
            </w:r>
            <w:r w:rsidRPr="00716D3E">
              <w:br/>
              <w:t xml:space="preserve">• Reflect on similarities or differences across jurisdictions </w:t>
            </w:r>
            <w:r w:rsidRPr="00716D3E">
              <w:br/>
              <w:t>• Share additional insights relevant to legal or procedural reform</w:t>
            </w:r>
          </w:p>
        </w:tc>
      </w:tr>
      <w:tr w:rsidR="00716D3E" w:rsidRPr="00716D3E" w14:paraId="613CC3E8" w14:textId="77777777" w:rsidTr="00710E8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0" w:type="auto"/>
            <w:hideMark/>
          </w:tcPr>
          <w:p w14:paraId="4A890802" w14:textId="77777777" w:rsidR="005976F0" w:rsidRPr="00716D3E" w:rsidRDefault="005976F0" w:rsidP="00710E87">
            <w:pPr>
              <w:jc w:val="thaiDistribute"/>
              <w:rPr>
                <w:b w:val="0"/>
                <w:bCs w:val="0"/>
              </w:rPr>
            </w:pPr>
            <w:r w:rsidRPr="00716D3E">
              <w:t>01:25 – 01:30</w:t>
            </w:r>
          </w:p>
        </w:tc>
        <w:tc>
          <w:tcPr>
            <w:tcW w:w="4301" w:type="dxa"/>
            <w:hideMark/>
          </w:tcPr>
          <w:p w14:paraId="06050D12" w14:textId="66FB260E" w:rsidR="005976F0" w:rsidRPr="00716D3E" w:rsidRDefault="005976F0" w:rsidP="00037B79">
            <w:pPr>
              <w:cnfStyle w:val="000000100000" w:firstRow="0" w:lastRow="0" w:firstColumn="0" w:lastColumn="0" w:oddVBand="0" w:evenVBand="0" w:oddHBand="1" w:evenHBand="0" w:firstRowFirstColumn="0" w:firstRowLastColumn="0" w:lastRowFirstColumn="0" w:lastRowLastColumn="0"/>
            </w:pPr>
            <w:r w:rsidRPr="00716D3E">
              <w:t xml:space="preserve">Key Takeaways and Closing </w:t>
            </w:r>
            <w:r w:rsidRPr="00716D3E">
              <w:br/>
            </w:r>
            <w:r w:rsidRPr="00716D3E">
              <w:rPr>
                <w:i/>
                <w:iCs/>
              </w:rPr>
              <w:t xml:space="preserve">(Moderator / </w:t>
            </w:r>
            <w:r w:rsidR="00037B79" w:rsidRPr="00716D3E">
              <w:rPr>
                <w:i/>
                <w:iCs/>
              </w:rPr>
              <w:t>Organizers</w:t>
            </w:r>
            <w:r w:rsidRPr="00716D3E">
              <w:rPr>
                <w:i/>
                <w:iCs/>
              </w:rPr>
              <w:t>)</w:t>
            </w:r>
          </w:p>
        </w:tc>
        <w:tc>
          <w:tcPr>
            <w:tcW w:w="4484" w:type="dxa"/>
            <w:hideMark/>
          </w:tcPr>
          <w:p w14:paraId="0AD324F0" w14:textId="39BE4897" w:rsidR="005976F0" w:rsidRPr="00716D3E" w:rsidRDefault="005976F0" w:rsidP="00037B79">
            <w:pPr>
              <w:cnfStyle w:val="000000100000" w:firstRow="0" w:lastRow="0" w:firstColumn="0" w:lastColumn="0" w:oddVBand="0" w:evenVBand="0" w:oddHBand="1" w:evenHBand="0" w:firstRowFirstColumn="0" w:firstRowLastColumn="0" w:lastRowFirstColumn="0" w:lastRowLastColumn="0"/>
            </w:pPr>
            <w:r w:rsidRPr="00716D3E">
              <w:t xml:space="preserve">• </w:t>
            </w:r>
            <w:r w:rsidR="00037B79" w:rsidRPr="00716D3E">
              <w:t>Summarize</w:t>
            </w:r>
            <w:r w:rsidRPr="00716D3E">
              <w:t xml:space="preserve"> key messages from the panel </w:t>
            </w:r>
            <w:r w:rsidRPr="00716D3E">
              <w:br/>
              <w:t>• Highlight common themes and considerations for victim-</w:t>
            </w:r>
            <w:r w:rsidR="00037B79" w:rsidRPr="00716D3E">
              <w:t>centered</w:t>
            </w:r>
            <w:r w:rsidRPr="00716D3E">
              <w:t xml:space="preserve"> justice reform </w:t>
            </w:r>
            <w:r w:rsidRPr="00716D3E">
              <w:br/>
              <w:t>• Close the session</w:t>
            </w:r>
          </w:p>
        </w:tc>
      </w:tr>
    </w:tbl>
    <w:p w14:paraId="09A0E718" w14:textId="7DEE0BDB" w:rsidR="002728BC" w:rsidRPr="00682A45" w:rsidRDefault="002728BC" w:rsidP="00682A45">
      <w:pPr>
        <w:jc w:val="thaiDistribute"/>
        <w:rPr>
          <w:rFonts w:eastAsiaTheme="minorHAnsi"/>
          <w:sz w:val="26"/>
          <w:szCs w:val="26"/>
          <w:cs/>
        </w:rPr>
      </w:pPr>
    </w:p>
    <w:sectPr w:rsidR="002728BC" w:rsidRPr="00682A45" w:rsidSect="005A7AB5">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BC1A" w14:textId="77777777" w:rsidR="00004705" w:rsidRDefault="00004705" w:rsidP="00F9442E">
      <w:r>
        <w:separator/>
      </w:r>
    </w:p>
  </w:endnote>
  <w:endnote w:type="continuationSeparator" w:id="0">
    <w:p w14:paraId="4D55E9BA" w14:textId="77777777" w:rsidR="00004705" w:rsidRDefault="00004705" w:rsidP="00F9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6869" w14:textId="77777777" w:rsidR="00004705" w:rsidRDefault="00004705" w:rsidP="00F9442E">
      <w:r>
        <w:separator/>
      </w:r>
    </w:p>
  </w:footnote>
  <w:footnote w:type="continuationSeparator" w:id="0">
    <w:p w14:paraId="3D810310" w14:textId="77777777" w:rsidR="00004705" w:rsidRDefault="00004705" w:rsidP="00F9442E">
      <w:r>
        <w:continuationSeparator/>
      </w:r>
    </w:p>
  </w:footnote>
  <w:footnote w:id="1">
    <w:p w14:paraId="571A6499" w14:textId="1EC012B5" w:rsidR="00B54714" w:rsidRPr="00716D3E" w:rsidRDefault="00B54714" w:rsidP="00716D3E">
      <w:pPr>
        <w:pStyle w:val="FootnoteText"/>
        <w:jc w:val="thaiDistribute"/>
        <w:rPr>
          <w:rFonts w:ascii="Times New Roman" w:hAnsi="Times New Roman" w:cs="Times New Roman"/>
          <w:sz w:val="18"/>
          <w:szCs w:val="18"/>
        </w:rPr>
      </w:pPr>
      <w:r w:rsidRPr="00716D3E">
        <w:rPr>
          <w:rStyle w:val="FootnoteReference"/>
          <w:rFonts w:ascii="Times New Roman" w:hAnsi="Times New Roman" w:cs="Times New Roman"/>
          <w:sz w:val="18"/>
          <w:szCs w:val="18"/>
        </w:rPr>
        <w:footnoteRef/>
      </w:r>
      <w:r w:rsidRPr="00716D3E">
        <w:rPr>
          <w:rFonts w:ascii="Times New Roman" w:hAnsi="Times New Roman" w:cs="Times New Roman"/>
          <w:sz w:val="18"/>
          <w:szCs w:val="18"/>
        </w:rPr>
        <w:t xml:space="preserve"> World Health Organization. 2023. Violence against women prevalence estimates, 2023. Geneva: WHO, p. 109. </w:t>
      </w:r>
      <w:hyperlink r:id="rId1">
        <w:r w:rsidRPr="00716D3E">
          <w:rPr>
            <w:rFonts w:ascii="Times New Roman" w:hAnsi="Times New Roman" w:cs="Times New Roman"/>
            <w:sz w:val="18"/>
            <w:szCs w:val="18"/>
            <w:u w:val="single"/>
          </w:rPr>
          <w:t>https://www.who.int/publications/i/item/9789240116962</w:t>
        </w:r>
      </w:hyperlink>
    </w:p>
  </w:footnote>
  <w:footnote w:id="2">
    <w:p w14:paraId="4C47CB4B" w14:textId="272C5A45" w:rsidR="00B54714" w:rsidRPr="00716D3E" w:rsidRDefault="00B54714" w:rsidP="00716D3E">
      <w:pPr>
        <w:pStyle w:val="FootnoteText"/>
        <w:jc w:val="thaiDistribute"/>
        <w:rPr>
          <w:rFonts w:ascii="Times New Roman" w:hAnsi="Times New Roman" w:cs="Times New Roman"/>
          <w:sz w:val="18"/>
          <w:szCs w:val="18"/>
        </w:rPr>
      </w:pPr>
      <w:r w:rsidRPr="00716D3E">
        <w:rPr>
          <w:rStyle w:val="FootnoteReference"/>
          <w:rFonts w:ascii="Times New Roman" w:hAnsi="Times New Roman" w:cs="Times New Roman"/>
          <w:sz w:val="18"/>
          <w:szCs w:val="18"/>
        </w:rPr>
        <w:footnoteRef/>
      </w:r>
      <w:r w:rsidRPr="00716D3E">
        <w:rPr>
          <w:rFonts w:ascii="Times New Roman" w:hAnsi="Times New Roman" w:cs="Times New Roman"/>
          <w:sz w:val="18"/>
          <w:szCs w:val="18"/>
        </w:rPr>
        <w:t xml:space="preserve"> United Nations Human Rights Council. 2025.</w:t>
      </w:r>
      <w:hyperlink r:id="rId2">
        <w:r w:rsidRPr="00716D3E">
          <w:rPr>
            <w:rFonts w:ascii="Times New Roman" w:hAnsi="Times New Roman" w:cs="Times New Roman"/>
            <w:sz w:val="18"/>
            <w:szCs w:val="18"/>
          </w:rPr>
          <w:t xml:space="preserve"> </w:t>
        </w:r>
      </w:hyperlink>
      <w:hyperlink r:id="rId3">
        <w:r w:rsidRPr="00716D3E">
          <w:rPr>
            <w:rFonts w:ascii="Times New Roman" w:hAnsi="Times New Roman" w:cs="Times New Roman"/>
            <w:sz w:val="18"/>
            <w:szCs w:val="18"/>
            <w:u w:val="single"/>
          </w:rPr>
          <w:t>Report of the Working Group on discrimination against women and girls.</w:t>
        </w:r>
      </w:hyperlink>
      <w:r w:rsidRPr="00716D3E">
        <w:rPr>
          <w:rFonts w:ascii="Times New Roman" w:hAnsi="Times New Roman" w:cs="Times New Roman"/>
          <w:sz w:val="18"/>
          <w:szCs w:val="18"/>
        </w:rPr>
        <w:t xml:space="preserve"> (para 47)</w:t>
      </w:r>
    </w:p>
  </w:footnote>
  <w:footnote w:id="3">
    <w:p w14:paraId="08D6B317" w14:textId="1731BED0" w:rsidR="005C277D" w:rsidRPr="00716D3E" w:rsidRDefault="005C277D" w:rsidP="00716D3E">
      <w:pPr>
        <w:pStyle w:val="FootnoteText"/>
        <w:jc w:val="thaiDistribute"/>
        <w:rPr>
          <w:rFonts w:ascii="Times New Roman" w:eastAsia="Calibri" w:hAnsi="Times New Roman" w:cs="Times New Roman"/>
          <w:sz w:val="18"/>
          <w:szCs w:val="18"/>
        </w:rPr>
      </w:pPr>
      <w:r w:rsidRPr="00716D3E">
        <w:rPr>
          <w:rStyle w:val="FootnoteReference"/>
          <w:rFonts w:ascii="Times New Roman" w:hAnsi="Times New Roman" w:cs="Times New Roman"/>
        </w:rPr>
        <w:footnoteRef/>
      </w:r>
      <w:r w:rsidRPr="00716D3E">
        <w:t xml:space="preserve"> </w:t>
      </w:r>
      <w:r w:rsidR="004338A8" w:rsidRPr="00716D3E">
        <w:rPr>
          <w:rFonts w:ascii="Times New Roman" w:eastAsia="Calibri" w:hAnsi="Times New Roman" w:cs="Times New Roman"/>
          <w:sz w:val="18"/>
          <w:szCs w:val="18"/>
        </w:rPr>
        <w:t xml:space="preserve">The term “victim” is used in this concept note in line with prevailing legal terminology within criminal justice systems and national legal frameworks. It is </w:t>
      </w:r>
      <w:r w:rsidR="00037B79" w:rsidRPr="00716D3E">
        <w:rPr>
          <w:rFonts w:ascii="Times New Roman" w:eastAsia="Calibri" w:hAnsi="Times New Roman" w:cs="Times New Roman"/>
          <w:sz w:val="18"/>
          <w:szCs w:val="18"/>
        </w:rPr>
        <w:t>recognized</w:t>
      </w:r>
      <w:r w:rsidR="004338A8" w:rsidRPr="00716D3E">
        <w:rPr>
          <w:rFonts w:ascii="Times New Roman" w:eastAsia="Calibri" w:hAnsi="Times New Roman" w:cs="Times New Roman"/>
          <w:sz w:val="18"/>
          <w:szCs w:val="18"/>
        </w:rPr>
        <w:t>, however, that many rights-based and survivor-</w:t>
      </w:r>
      <w:r w:rsidR="00037B79" w:rsidRPr="00716D3E">
        <w:rPr>
          <w:rFonts w:ascii="Times New Roman" w:eastAsia="Calibri" w:hAnsi="Times New Roman" w:cs="Times New Roman"/>
          <w:sz w:val="18"/>
          <w:szCs w:val="18"/>
        </w:rPr>
        <w:t>centered</w:t>
      </w:r>
      <w:r w:rsidR="004338A8" w:rsidRPr="00716D3E">
        <w:rPr>
          <w:rFonts w:ascii="Times New Roman" w:eastAsia="Calibri" w:hAnsi="Times New Roman" w:cs="Times New Roman"/>
          <w:sz w:val="18"/>
          <w:szCs w:val="18"/>
        </w:rPr>
        <w:t xml:space="preserve"> approaches prefer the term “survivor” to </w:t>
      </w:r>
      <w:r w:rsidR="00037B79" w:rsidRPr="00716D3E">
        <w:rPr>
          <w:rFonts w:ascii="Times New Roman" w:eastAsia="Calibri" w:hAnsi="Times New Roman" w:cs="Times New Roman"/>
          <w:sz w:val="18"/>
          <w:szCs w:val="18"/>
        </w:rPr>
        <w:t>emphasize</w:t>
      </w:r>
      <w:r w:rsidR="004338A8" w:rsidRPr="00716D3E">
        <w:rPr>
          <w:rFonts w:ascii="Times New Roman" w:eastAsia="Calibri" w:hAnsi="Times New Roman" w:cs="Times New Roman"/>
          <w:sz w:val="18"/>
          <w:szCs w:val="18"/>
        </w:rPr>
        <w:t xml:space="preserve"> agency, dignity, and resilience. Both terms are used in good faith and with respect.</w:t>
      </w:r>
    </w:p>
  </w:footnote>
  <w:footnote w:id="4">
    <w:p w14:paraId="10A82FAB" w14:textId="442C721E" w:rsidR="00DD7FC3" w:rsidRPr="00716D3E" w:rsidRDefault="00DD7FC3" w:rsidP="00716D3E">
      <w:pPr>
        <w:pStyle w:val="FootnoteText"/>
        <w:jc w:val="thaiDistribute"/>
        <w:rPr>
          <w:rFonts w:ascii="Times New Roman" w:hAnsi="Times New Roman" w:cs="Times New Roman"/>
          <w:sz w:val="18"/>
          <w:szCs w:val="18"/>
        </w:rPr>
      </w:pPr>
      <w:r w:rsidRPr="00716D3E">
        <w:rPr>
          <w:rStyle w:val="FootnoteReference"/>
          <w:rFonts w:ascii="Times New Roman" w:hAnsi="Times New Roman" w:cs="Times New Roman"/>
          <w:sz w:val="18"/>
          <w:szCs w:val="18"/>
        </w:rPr>
        <w:footnoteRef/>
      </w:r>
      <w:r w:rsidRPr="00716D3E">
        <w:rPr>
          <w:rFonts w:ascii="Times New Roman" w:hAnsi="Times New Roman" w:cs="Times New Roman"/>
          <w:sz w:val="18"/>
          <w:szCs w:val="18"/>
        </w:rPr>
        <w:t xml:space="preserve"> International Commission of Jurists (ICJ). 2025. </w:t>
      </w:r>
      <w:hyperlink r:id="rId4">
        <w:r w:rsidRPr="00716D3E">
          <w:rPr>
            <w:rFonts w:ascii="Times New Roman" w:hAnsi="Times New Roman" w:cs="Times New Roman"/>
            <w:sz w:val="18"/>
            <w:szCs w:val="18"/>
            <w:u w:val="single"/>
          </w:rPr>
          <w:t>Access to Justice for Sexual and Gender-Based Violence in Thailand: a Baseline Study</w:t>
        </w:r>
      </w:hyperlink>
    </w:p>
  </w:footnote>
  <w:footnote w:id="5">
    <w:p w14:paraId="3DEE4E1C" w14:textId="3D4D6875" w:rsidR="00CB1425" w:rsidRPr="00716D3E" w:rsidRDefault="00CB1425" w:rsidP="00716D3E">
      <w:pPr>
        <w:jc w:val="thaiDistribute"/>
        <w:rPr>
          <w:sz w:val="18"/>
          <w:szCs w:val="18"/>
        </w:rPr>
      </w:pPr>
      <w:r w:rsidRPr="00716D3E">
        <w:rPr>
          <w:rStyle w:val="FootnoteReference"/>
          <w:sz w:val="18"/>
          <w:szCs w:val="18"/>
        </w:rPr>
        <w:footnoteRef/>
      </w:r>
      <w:r w:rsidRPr="00716D3E">
        <w:rPr>
          <w:sz w:val="18"/>
          <w:szCs w:val="18"/>
        </w:rPr>
        <w:t xml:space="preserve"> Winrock International. 2020. </w:t>
      </w:r>
      <w:hyperlink r:id="rId5">
        <w:r w:rsidRPr="00716D3E">
          <w:rPr>
            <w:sz w:val="18"/>
            <w:szCs w:val="18"/>
            <w:u w:val="single"/>
          </w:rPr>
          <w:t>Labor Abuse Complaint Mechanisms in Thailand.</w:t>
        </w:r>
      </w:hyperlink>
      <w:r w:rsidRPr="00716D3E">
        <w:rPr>
          <w:sz w:val="18"/>
          <w:szCs w:val="18"/>
        </w:rPr>
        <w:t xml:space="preserve">; International </w:t>
      </w:r>
      <w:proofErr w:type="spellStart"/>
      <w:r w:rsidRPr="00716D3E">
        <w:rPr>
          <w:sz w:val="18"/>
          <w:szCs w:val="18"/>
        </w:rPr>
        <w:t>Labour</w:t>
      </w:r>
      <w:proofErr w:type="spellEnd"/>
      <w:r w:rsidRPr="00716D3E">
        <w:rPr>
          <w:sz w:val="18"/>
          <w:szCs w:val="18"/>
        </w:rPr>
        <w:t xml:space="preserve"> Organization (ILO). (2024).</w:t>
      </w:r>
      <w:hyperlink r:id="rId6">
        <w:r w:rsidRPr="00716D3E">
          <w:rPr>
            <w:sz w:val="18"/>
            <w:szCs w:val="18"/>
            <w:u w:val="single"/>
          </w:rPr>
          <w:t xml:space="preserve"> Thailand Migration Report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458F" w14:textId="545B61C4" w:rsidR="00C31FA9" w:rsidRDefault="00E13012" w:rsidP="00E13012">
    <w:pPr>
      <w:pStyle w:val="Header"/>
      <w:ind w:left="-426" w:right="-897"/>
      <w:rPr>
        <w:cs/>
      </w:rPr>
    </w:pPr>
    <w:r>
      <w:rPr>
        <w:noProof/>
        <w:cs/>
      </w:rPr>
      <w:drawing>
        <wp:anchor distT="0" distB="0" distL="114300" distR="114300" simplePos="0" relativeHeight="251658240" behindDoc="0" locked="0" layoutInCell="1" allowOverlap="1" wp14:anchorId="450EE943" wp14:editId="45C75202">
          <wp:simplePos x="0" y="0"/>
          <wp:positionH relativeFrom="column">
            <wp:posOffset>4216400</wp:posOffset>
          </wp:positionH>
          <wp:positionV relativeFrom="paragraph">
            <wp:posOffset>-95250</wp:posOffset>
          </wp:positionV>
          <wp:extent cx="537210" cy="469265"/>
          <wp:effectExtent l="0" t="0" r="0" b="6985"/>
          <wp:wrapNone/>
          <wp:docPr id="120641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721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012">
      <w:rPr>
        <w:noProof/>
        <w:cs/>
      </w:rPr>
      <w:drawing>
        <wp:anchor distT="0" distB="0" distL="114300" distR="114300" simplePos="0" relativeHeight="251661312" behindDoc="0" locked="0" layoutInCell="1" allowOverlap="1" wp14:anchorId="2C6BF8BB" wp14:editId="50C29211">
          <wp:simplePos x="0" y="0"/>
          <wp:positionH relativeFrom="column">
            <wp:posOffset>3505200</wp:posOffset>
          </wp:positionH>
          <wp:positionV relativeFrom="paragraph">
            <wp:posOffset>-82550</wp:posOffset>
          </wp:positionV>
          <wp:extent cx="638175" cy="539750"/>
          <wp:effectExtent l="0" t="0" r="9525" b="0"/>
          <wp:wrapNone/>
          <wp:docPr id="2" name="รูปภาพ 2" descr="C:\Users\Dell\Downloads\โลโก้ต่างๆนาๆ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โลโก้ต่างๆนาๆ (1).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9084" r="14425"/>
                  <a:stretch/>
                </pic:blipFill>
                <pic:spPr bwMode="auto">
                  <a:xfrm>
                    <a:off x="0" y="0"/>
                    <a:ext cx="638175" cy="539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s/>
      </w:rPr>
      <w:drawing>
        <wp:anchor distT="0" distB="0" distL="114300" distR="114300" simplePos="0" relativeHeight="251660288" behindDoc="0" locked="0" layoutInCell="1" allowOverlap="1" wp14:anchorId="739F2FB0" wp14:editId="036AFD48">
          <wp:simplePos x="0" y="0"/>
          <wp:positionH relativeFrom="column">
            <wp:posOffset>2940050</wp:posOffset>
          </wp:positionH>
          <wp:positionV relativeFrom="paragraph">
            <wp:posOffset>-120650</wp:posOffset>
          </wp:positionV>
          <wp:extent cx="539750" cy="539750"/>
          <wp:effectExtent l="0" t="0" r="0" b="0"/>
          <wp:wrapNone/>
          <wp:docPr id="1032371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s/>
      </w:rPr>
      <w:drawing>
        <wp:anchor distT="0" distB="0" distL="114300" distR="114300" simplePos="0" relativeHeight="251659264" behindDoc="0" locked="0" layoutInCell="1" allowOverlap="1" wp14:anchorId="21DA3FE7" wp14:editId="6EE9229D">
          <wp:simplePos x="0" y="0"/>
          <wp:positionH relativeFrom="column">
            <wp:posOffset>4800600</wp:posOffset>
          </wp:positionH>
          <wp:positionV relativeFrom="paragraph">
            <wp:posOffset>50800</wp:posOffset>
          </wp:positionV>
          <wp:extent cx="1019175" cy="359410"/>
          <wp:effectExtent l="0" t="0" r="9525" b="0"/>
          <wp:wrapNone/>
          <wp:docPr id="1031562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0304"/>
                  <a:stretch>
                    <a:fillRect/>
                  </a:stretch>
                </pic:blipFill>
                <pic:spPr bwMode="auto">
                  <a:xfrm>
                    <a:off x="0" y="0"/>
                    <a:ext cx="1019175" cy="359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FA9" w:rsidRPr="007E1199">
      <w:rPr>
        <w:b/>
        <w:noProof/>
        <w:color w:val="215E99"/>
        <w:sz w:val="28"/>
        <w:szCs w:val="28"/>
      </w:rPr>
      <w:drawing>
        <wp:inline distT="0" distB="0" distL="0" distR="0" wp14:anchorId="5C8C3CA5" wp14:editId="1AD2B0A4">
          <wp:extent cx="1593197" cy="360000"/>
          <wp:effectExtent l="0" t="0" r="0" b="2540"/>
          <wp:docPr id="4" name="Picture 3" descr="Blue text on a black background&#10;&#10;Description automatically generated">
            <a:extLst xmlns:a="http://schemas.openxmlformats.org/drawingml/2006/main">
              <a:ext uri="{FF2B5EF4-FFF2-40B4-BE49-F238E27FC236}">
                <a16:creationId xmlns:a16="http://schemas.microsoft.com/office/drawing/2014/main" id="{EE215339-E521-CEB2-5569-43983BDD4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lue text on a black background&#10;&#10;Description automatically generated">
                    <a:extLst>
                      <a:ext uri="{FF2B5EF4-FFF2-40B4-BE49-F238E27FC236}">
                        <a16:creationId xmlns:a16="http://schemas.microsoft.com/office/drawing/2014/main" id="{EE215339-E521-CEB2-5569-43983BDD41CC}"/>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93197" cy="360000"/>
                  </a:xfrm>
                  <a:prstGeom prst="rect">
                    <a:avLst/>
                  </a:prstGeom>
                </pic:spPr>
              </pic:pic>
            </a:graphicData>
          </a:graphic>
        </wp:inline>
      </w:drawing>
    </w:r>
    <w:r w:rsidRPr="00E13012">
      <w:rPr>
        <w:noProof/>
        <w:cs/>
      </w:rPr>
      <w:drawing>
        <wp:inline distT="0" distB="0" distL="0" distR="0" wp14:anchorId="664C50EF" wp14:editId="3B31FB89">
          <wp:extent cx="1590998" cy="396000"/>
          <wp:effectExtent l="0" t="0" r="0" b="4445"/>
          <wp:docPr id="1" name="รูปภาพ 1" descr="C:\Users\Dell\Downloads\โลโก้ต่างๆนา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โลโก้ต่างๆนาๆ.png"/>
                  <pic:cNvPicPr>
                    <a:picLocks noChangeAspect="1" noChangeArrowheads="1"/>
                  </pic:cNvPicPr>
                </pic:nvPicPr>
                <pic:blipFill rotWithShape="1">
                  <a:blip r:embed="rId6">
                    <a:extLst>
                      <a:ext uri="{28A0092B-C50C-407E-A947-70E740481C1C}">
                        <a14:useLocalDpi xmlns:a14="http://schemas.microsoft.com/office/drawing/2010/main" val="0"/>
                      </a:ext>
                    </a:extLst>
                  </a:blip>
                  <a:srcRect t="22722" b="33029"/>
                  <a:stretch/>
                </pic:blipFill>
                <pic:spPr bwMode="auto">
                  <a:xfrm>
                    <a:off x="0" y="0"/>
                    <a:ext cx="1590998" cy="396000"/>
                  </a:xfrm>
                  <a:prstGeom prst="rect">
                    <a:avLst/>
                  </a:prstGeom>
                  <a:noFill/>
                  <a:ln>
                    <a:noFill/>
                  </a:ln>
                  <a:extLst>
                    <a:ext uri="{53640926-AAD7-44D8-BBD7-CCE9431645EC}">
                      <a14:shadowObscured xmlns:a14="http://schemas.microsoft.com/office/drawing/2010/main"/>
                    </a:ext>
                  </a:extLst>
                </pic:spPr>
              </pic:pic>
            </a:graphicData>
          </a:graphic>
        </wp:inline>
      </w:drawing>
    </w:r>
    <w:r w:rsidR="00C31FA9">
      <w:rPr>
        <w:rFonts w:hint="cs"/>
        <w:noProof/>
        <w:cs/>
      </w:rPr>
      <w:t xml:space="preserve">       </w:t>
    </w:r>
    <w:r w:rsidR="00C31FA9">
      <w:rPr>
        <w:rFonts w:hint="cs"/>
        <w:cs/>
      </w:rPr>
      <w:t xml:space="preserve"> </w:t>
    </w:r>
    <w:r w:rsidR="0045675A">
      <w:rPr>
        <w:rFonts w:hint="cs"/>
        <w:cs/>
      </w:rPr>
      <w:t xml:space="preserve"> </w:t>
    </w:r>
    <w:r w:rsidR="00C31FA9">
      <w:rPr>
        <w:rFonts w:hint="cs"/>
        <w:cs/>
      </w:rPr>
      <w:t xml:space="preserve"> </w:t>
    </w:r>
    <w:r w:rsidR="001B4061">
      <w:t xml:space="preserve"> </w:t>
    </w:r>
    <w:r w:rsidR="00C31FA9">
      <w:rPr>
        <w:rFonts w:hint="cs"/>
        <w:cs/>
      </w:rPr>
      <w:t xml:space="preserve">        </w:t>
    </w:r>
  </w:p>
  <w:p w14:paraId="0C665BF6" w14:textId="77777777" w:rsidR="00C31FA9" w:rsidRDefault="00C31FA9">
    <w:pPr>
      <w:pStyle w:val="Header"/>
      <w:rPr>
        <w:noProof/>
      </w:rPr>
    </w:pPr>
  </w:p>
  <w:p w14:paraId="2B737F51" w14:textId="77777777" w:rsidR="00C31FA9" w:rsidRDefault="00C3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26F"/>
    <w:multiLevelType w:val="hybridMultilevel"/>
    <w:tmpl w:val="1F94EDAE"/>
    <w:lvl w:ilvl="0" w:tplc="1AD24472">
      <w:numFmt w:val="bullet"/>
      <w:lvlText w:val="-"/>
      <w:lvlJc w:val="left"/>
      <w:pPr>
        <w:ind w:left="840" w:hanging="48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D36A9"/>
    <w:multiLevelType w:val="hybridMultilevel"/>
    <w:tmpl w:val="7604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C7806"/>
    <w:multiLevelType w:val="hybridMultilevel"/>
    <w:tmpl w:val="FAFEA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22677"/>
    <w:multiLevelType w:val="hybridMultilevel"/>
    <w:tmpl w:val="C6845EA4"/>
    <w:lvl w:ilvl="0" w:tplc="4F54A8E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83BE9"/>
    <w:multiLevelType w:val="hybridMultilevel"/>
    <w:tmpl w:val="104A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3342F7"/>
    <w:multiLevelType w:val="hybridMultilevel"/>
    <w:tmpl w:val="1C7E719E"/>
    <w:lvl w:ilvl="0" w:tplc="06AA0CE6">
      <w:start w:val="4"/>
      <w:numFmt w:val="bullet"/>
      <w:lvlText w:val="-"/>
      <w:lvlJc w:val="left"/>
      <w:pPr>
        <w:ind w:left="720" w:hanging="360"/>
      </w:pPr>
      <w:rPr>
        <w:rFonts w:ascii="Cordia New" w:eastAsiaTheme="minorHAns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C2C10"/>
    <w:multiLevelType w:val="hybridMultilevel"/>
    <w:tmpl w:val="4B50A19C"/>
    <w:lvl w:ilvl="0" w:tplc="06AA0CE6">
      <w:start w:val="4"/>
      <w:numFmt w:val="bullet"/>
      <w:lvlText w:val="-"/>
      <w:lvlJc w:val="left"/>
      <w:pPr>
        <w:ind w:left="720" w:hanging="360"/>
      </w:pPr>
      <w:rPr>
        <w:rFonts w:ascii="Cordia New" w:eastAsiaTheme="minorHAns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195048">
    <w:abstractNumId w:val="2"/>
  </w:num>
  <w:num w:numId="2" w16cid:durableId="1311133239">
    <w:abstractNumId w:val="5"/>
  </w:num>
  <w:num w:numId="3" w16cid:durableId="627853380">
    <w:abstractNumId w:val="6"/>
  </w:num>
  <w:num w:numId="4" w16cid:durableId="1260026899">
    <w:abstractNumId w:val="0"/>
  </w:num>
  <w:num w:numId="5" w16cid:durableId="1426732640">
    <w:abstractNumId w:val="1"/>
  </w:num>
  <w:num w:numId="6" w16cid:durableId="92094506">
    <w:abstractNumId w:val="3"/>
  </w:num>
  <w:num w:numId="7" w16cid:durableId="928733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1C"/>
    <w:rsid w:val="00004705"/>
    <w:rsid w:val="00013720"/>
    <w:rsid w:val="00013A05"/>
    <w:rsid w:val="000300BF"/>
    <w:rsid w:val="00037934"/>
    <w:rsid w:val="00037B14"/>
    <w:rsid w:val="00037B79"/>
    <w:rsid w:val="00040BFF"/>
    <w:rsid w:val="0004376C"/>
    <w:rsid w:val="000502F1"/>
    <w:rsid w:val="00052882"/>
    <w:rsid w:val="000633BC"/>
    <w:rsid w:val="000669CE"/>
    <w:rsid w:val="000952FB"/>
    <w:rsid w:val="000A3E85"/>
    <w:rsid w:val="000C69BD"/>
    <w:rsid w:val="000D14B4"/>
    <w:rsid w:val="000D1B60"/>
    <w:rsid w:val="000D79D6"/>
    <w:rsid w:val="000F6F62"/>
    <w:rsid w:val="0010389E"/>
    <w:rsid w:val="0011072E"/>
    <w:rsid w:val="001260AA"/>
    <w:rsid w:val="00145A93"/>
    <w:rsid w:val="001535C8"/>
    <w:rsid w:val="0015542B"/>
    <w:rsid w:val="00155572"/>
    <w:rsid w:val="00192AE8"/>
    <w:rsid w:val="001A3C98"/>
    <w:rsid w:val="001B270E"/>
    <w:rsid w:val="001B4061"/>
    <w:rsid w:val="001B5C40"/>
    <w:rsid w:val="001C1C49"/>
    <w:rsid w:val="001C41BA"/>
    <w:rsid w:val="001D2F87"/>
    <w:rsid w:val="001D72DF"/>
    <w:rsid w:val="001E00EE"/>
    <w:rsid w:val="001E1432"/>
    <w:rsid w:val="00217AB8"/>
    <w:rsid w:val="00226DEE"/>
    <w:rsid w:val="00243BFA"/>
    <w:rsid w:val="00255FA2"/>
    <w:rsid w:val="00265CB9"/>
    <w:rsid w:val="00270953"/>
    <w:rsid w:val="002728BC"/>
    <w:rsid w:val="002774B3"/>
    <w:rsid w:val="002A07C7"/>
    <w:rsid w:val="002B2914"/>
    <w:rsid w:val="002D1280"/>
    <w:rsid w:val="002D3265"/>
    <w:rsid w:val="002E46BC"/>
    <w:rsid w:val="002F3D9B"/>
    <w:rsid w:val="00300557"/>
    <w:rsid w:val="00316798"/>
    <w:rsid w:val="00320D8B"/>
    <w:rsid w:val="00336774"/>
    <w:rsid w:val="00337B52"/>
    <w:rsid w:val="00344270"/>
    <w:rsid w:val="00354099"/>
    <w:rsid w:val="00356C86"/>
    <w:rsid w:val="003743CF"/>
    <w:rsid w:val="00376BD9"/>
    <w:rsid w:val="003867C8"/>
    <w:rsid w:val="003962F5"/>
    <w:rsid w:val="003A6CC4"/>
    <w:rsid w:val="003B3E5F"/>
    <w:rsid w:val="003B7E8C"/>
    <w:rsid w:val="003D752F"/>
    <w:rsid w:val="003E698F"/>
    <w:rsid w:val="003F3E10"/>
    <w:rsid w:val="00412896"/>
    <w:rsid w:val="004338A8"/>
    <w:rsid w:val="0043539E"/>
    <w:rsid w:val="00447221"/>
    <w:rsid w:val="0045675A"/>
    <w:rsid w:val="00460630"/>
    <w:rsid w:val="00462EB8"/>
    <w:rsid w:val="0046384F"/>
    <w:rsid w:val="0046642D"/>
    <w:rsid w:val="00466F25"/>
    <w:rsid w:val="004722F9"/>
    <w:rsid w:val="00472462"/>
    <w:rsid w:val="00473C12"/>
    <w:rsid w:val="00490FBA"/>
    <w:rsid w:val="0049404C"/>
    <w:rsid w:val="004944BF"/>
    <w:rsid w:val="004B6FB2"/>
    <w:rsid w:val="004C0FCD"/>
    <w:rsid w:val="004C3794"/>
    <w:rsid w:val="004D32B9"/>
    <w:rsid w:val="004F7EF8"/>
    <w:rsid w:val="00527D21"/>
    <w:rsid w:val="00560D7A"/>
    <w:rsid w:val="00576DEF"/>
    <w:rsid w:val="005834DC"/>
    <w:rsid w:val="00583825"/>
    <w:rsid w:val="005961BF"/>
    <w:rsid w:val="005976F0"/>
    <w:rsid w:val="005A7AB5"/>
    <w:rsid w:val="005C277D"/>
    <w:rsid w:val="005C6409"/>
    <w:rsid w:val="005D2245"/>
    <w:rsid w:val="005E2FB2"/>
    <w:rsid w:val="005E3CFC"/>
    <w:rsid w:val="005F63DF"/>
    <w:rsid w:val="006100DF"/>
    <w:rsid w:val="00617337"/>
    <w:rsid w:val="00620FD0"/>
    <w:rsid w:val="006406A5"/>
    <w:rsid w:val="00657856"/>
    <w:rsid w:val="006704EC"/>
    <w:rsid w:val="00675FFA"/>
    <w:rsid w:val="006779BC"/>
    <w:rsid w:val="00682A45"/>
    <w:rsid w:val="00683F0B"/>
    <w:rsid w:val="006B75EB"/>
    <w:rsid w:val="006E7B7C"/>
    <w:rsid w:val="006F7137"/>
    <w:rsid w:val="00703E58"/>
    <w:rsid w:val="00710E87"/>
    <w:rsid w:val="00715B82"/>
    <w:rsid w:val="00716D3E"/>
    <w:rsid w:val="00730FB8"/>
    <w:rsid w:val="007508E9"/>
    <w:rsid w:val="00752E80"/>
    <w:rsid w:val="007676EB"/>
    <w:rsid w:val="007935D9"/>
    <w:rsid w:val="00797536"/>
    <w:rsid w:val="007D010C"/>
    <w:rsid w:val="008054E0"/>
    <w:rsid w:val="00820135"/>
    <w:rsid w:val="00841AE7"/>
    <w:rsid w:val="00862351"/>
    <w:rsid w:val="00882D46"/>
    <w:rsid w:val="00886A0E"/>
    <w:rsid w:val="00890DA1"/>
    <w:rsid w:val="008A3FE4"/>
    <w:rsid w:val="008A4097"/>
    <w:rsid w:val="008B1CBE"/>
    <w:rsid w:val="008E63DD"/>
    <w:rsid w:val="009073C2"/>
    <w:rsid w:val="00923AE3"/>
    <w:rsid w:val="00924950"/>
    <w:rsid w:val="00944FE5"/>
    <w:rsid w:val="009571B6"/>
    <w:rsid w:val="00962501"/>
    <w:rsid w:val="009629EE"/>
    <w:rsid w:val="00972BC2"/>
    <w:rsid w:val="009764C3"/>
    <w:rsid w:val="00984097"/>
    <w:rsid w:val="00991595"/>
    <w:rsid w:val="00997FF9"/>
    <w:rsid w:val="009A30DD"/>
    <w:rsid w:val="009A3778"/>
    <w:rsid w:val="009A463C"/>
    <w:rsid w:val="009B1582"/>
    <w:rsid w:val="009B68FB"/>
    <w:rsid w:val="009C052D"/>
    <w:rsid w:val="009C10D0"/>
    <w:rsid w:val="009D6402"/>
    <w:rsid w:val="009E15E1"/>
    <w:rsid w:val="009E22B8"/>
    <w:rsid w:val="00A065C9"/>
    <w:rsid w:val="00A07F11"/>
    <w:rsid w:val="00A254A9"/>
    <w:rsid w:val="00A33919"/>
    <w:rsid w:val="00A404AC"/>
    <w:rsid w:val="00A42D4F"/>
    <w:rsid w:val="00A444C0"/>
    <w:rsid w:val="00A4505B"/>
    <w:rsid w:val="00A63C69"/>
    <w:rsid w:val="00A94338"/>
    <w:rsid w:val="00AA0345"/>
    <w:rsid w:val="00AB77F7"/>
    <w:rsid w:val="00AC61B9"/>
    <w:rsid w:val="00AD609F"/>
    <w:rsid w:val="00AD68F5"/>
    <w:rsid w:val="00AE72FE"/>
    <w:rsid w:val="00AF5093"/>
    <w:rsid w:val="00B060D0"/>
    <w:rsid w:val="00B4030D"/>
    <w:rsid w:val="00B54714"/>
    <w:rsid w:val="00B55E4D"/>
    <w:rsid w:val="00B67CBC"/>
    <w:rsid w:val="00B724B5"/>
    <w:rsid w:val="00B836D2"/>
    <w:rsid w:val="00B91CF0"/>
    <w:rsid w:val="00BA0074"/>
    <w:rsid w:val="00BC0A88"/>
    <w:rsid w:val="00BC2CD5"/>
    <w:rsid w:val="00BD0240"/>
    <w:rsid w:val="00BD063D"/>
    <w:rsid w:val="00C14F24"/>
    <w:rsid w:val="00C17318"/>
    <w:rsid w:val="00C31FA9"/>
    <w:rsid w:val="00C32C32"/>
    <w:rsid w:val="00C4186D"/>
    <w:rsid w:val="00C51528"/>
    <w:rsid w:val="00C53D9C"/>
    <w:rsid w:val="00C7787C"/>
    <w:rsid w:val="00C85F3E"/>
    <w:rsid w:val="00C86BC7"/>
    <w:rsid w:val="00C96DD6"/>
    <w:rsid w:val="00C97F2A"/>
    <w:rsid w:val="00CA70B6"/>
    <w:rsid w:val="00CB0A8B"/>
    <w:rsid w:val="00CB1425"/>
    <w:rsid w:val="00CB29F2"/>
    <w:rsid w:val="00CB791C"/>
    <w:rsid w:val="00CC1904"/>
    <w:rsid w:val="00CE02DA"/>
    <w:rsid w:val="00CF3F38"/>
    <w:rsid w:val="00CF7D10"/>
    <w:rsid w:val="00D22FDC"/>
    <w:rsid w:val="00D2456C"/>
    <w:rsid w:val="00D31EFA"/>
    <w:rsid w:val="00D33316"/>
    <w:rsid w:val="00D420B3"/>
    <w:rsid w:val="00D42E87"/>
    <w:rsid w:val="00D46E24"/>
    <w:rsid w:val="00D64E46"/>
    <w:rsid w:val="00D658BA"/>
    <w:rsid w:val="00D65FEA"/>
    <w:rsid w:val="00D70322"/>
    <w:rsid w:val="00D74C4B"/>
    <w:rsid w:val="00DA4C8D"/>
    <w:rsid w:val="00DD7FC3"/>
    <w:rsid w:val="00DE102E"/>
    <w:rsid w:val="00DE3F12"/>
    <w:rsid w:val="00E04BCD"/>
    <w:rsid w:val="00E13012"/>
    <w:rsid w:val="00E14457"/>
    <w:rsid w:val="00E14C3B"/>
    <w:rsid w:val="00E4514C"/>
    <w:rsid w:val="00E60378"/>
    <w:rsid w:val="00E61BD4"/>
    <w:rsid w:val="00E94A2C"/>
    <w:rsid w:val="00E9565D"/>
    <w:rsid w:val="00EA00FD"/>
    <w:rsid w:val="00EA2F46"/>
    <w:rsid w:val="00EA5A4D"/>
    <w:rsid w:val="00EB7E62"/>
    <w:rsid w:val="00EC41CD"/>
    <w:rsid w:val="00EF1505"/>
    <w:rsid w:val="00F03D8F"/>
    <w:rsid w:val="00F04080"/>
    <w:rsid w:val="00F07FA6"/>
    <w:rsid w:val="00F10768"/>
    <w:rsid w:val="00F229CA"/>
    <w:rsid w:val="00F34FEB"/>
    <w:rsid w:val="00F532AB"/>
    <w:rsid w:val="00F575FC"/>
    <w:rsid w:val="00F57CF5"/>
    <w:rsid w:val="00F62986"/>
    <w:rsid w:val="00F65084"/>
    <w:rsid w:val="00F84BE0"/>
    <w:rsid w:val="00F900FB"/>
    <w:rsid w:val="00F9442E"/>
    <w:rsid w:val="00FA1891"/>
    <w:rsid w:val="00FA5BD8"/>
    <w:rsid w:val="00FB1010"/>
    <w:rsid w:val="00FB30B2"/>
    <w:rsid w:val="00FC17D6"/>
    <w:rsid w:val="00FC3246"/>
    <w:rsid w:val="00FC4945"/>
    <w:rsid w:val="00FE7C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4F7A9"/>
  <w15:chartTrackingRefBased/>
  <w15:docId w15:val="{2EF50352-193F-4DD8-9F16-890F8DB1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1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976F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F3E"/>
    <w:pPr>
      <w:spacing w:after="160" w:line="259" w:lineRule="auto"/>
      <w:ind w:left="720"/>
      <w:contextualSpacing/>
    </w:pPr>
    <w:rPr>
      <w:rFonts w:asciiTheme="minorHAnsi" w:eastAsiaTheme="minorHAnsi" w:hAnsiTheme="minorHAnsi" w:cstheme="minorBidi"/>
      <w:sz w:val="22"/>
      <w:szCs w:val="28"/>
    </w:rPr>
  </w:style>
  <w:style w:type="table" w:styleId="TableGrid">
    <w:name w:val="Table Grid"/>
    <w:basedOn w:val="TableNormal"/>
    <w:uiPriority w:val="39"/>
    <w:rsid w:val="00F0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C8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728BC"/>
    <w:rPr>
      <w:rFonts w:ascii="Segoe UI" w:eastAsiaTheme="minorHAnsi" w:hAnsi="Segoe UI" w:cs="Angsana New"/>
      <w:sz w:val="18"/>
      <w:szCs w:val="22"/>
    </w:rPr>
  </w:style>
  <w:style w:type="character" w:customStyle="1" w:styleId="BalloonTextChar">
    <w:name w:val="Balloon Text Char"/>
    <w:basedOn w:val="DefaultParagraphFont"/>
    <w:link w:val="BalloonText"/>
    <w:uiPriority w:val="99"/>
    <w:semiHidden/>
    <w:rsid w:val="002728BC"/>
    <w:rPr>
      <w:rFonts w:ascii="Segoe UI" w:hAnsi="Segoe UI" w:cs="Angsana New"/>
      <w:sz w:val="18"/>
      <w:szCs w:val="22"/>
    </w:rPr>
  </w:style>
  <w:style w:type="character" w:styleId="Strong">
    <w:name w:val="Strong"/>
    <w:basedOn w:val="DefaultParagraphFont"/>
    <w:uiPriority w:val="22"/>
    <w:qFormat/>
    <w:rsid w:val="00F65084"/>
    <w:rPr>
      <w:b/>
      <w:bCs/>
    </w:rPr>
  </w:style>
  <w:style w:type="character" w:styleId="Emphasis">
    <w:name w:val="Emphasis"/>
    <w:basedOn w:val="DefaultParagraphFont"/>
    <w:uiPriority w:val="20"/>
    <w:qFormat/>
    <w:rsid w:val="0046642D"/>
    <w:rPr>
      <w:i/>
      <w:iCs/>
    </w:rPr>
  </w:style>
  <w:style w:type="paragraph" w:styleId="Revision">
    <w:name w:val="Revision"/>
    <w:hidden/>
    <w:uiPriority w:val="99"/>
    <w:semiHidden/>
    <w:rsid w:val="00F9442E"/>
    <w:pPr>
      <w:spacing w:after="0" w:line="240" w:lineRule="auto"/>
    </w:pPr>
  </w:style>
  <w:style w:type="paragraph" w:styleId="FootnoteText">
    <w:name w:val="footnote text"/>
    <w:basedOn w:val="Normal"/>
    <w:link w:val="FootnoteTextChar"/>
    <w:uiPriority w:val="99"/>
    <w:semiHidden/>
    <w:unhideWhenUsed/>
    <w:rsid w:val="00F9442E"/>
    <w:rPr>
      <w:rFonts w:asciiTheme="minorHAnsi" w:eastAsiaTheme="minorHAnsi" w:hAnsiTheme="minorHAnsi" w:cstheme="minorBidi"/>
      <w:sz w:val="20"/>
      <w:szCs w:val="25"/>
    </w:rPr>
  </w:style>
  <w:style w:type="character" w:customStyle="1" w:styleId="FootnoteTextChar">
    <w:name w:val="Footnote Text Char"/>
    <w:basedOn w:val="DefaultParagraphFont"/>
    <w:link w:val="FootnoteText"/>
    <w:uiPriority w:val="99"/>
    <w:semiHidden/>
    <w:rsid w:val="00F9442E"/>
    <w:rPr>
      <w:sz w:val="20"/>
      <w:szCs w:val="25"/>
    </w:rPr>
  </w:style>
  <w:style w:type="character" w:styleId="FootnoteReference">
    <w:name w:val="footnote reference"/>
    <w:basedOn w:val="DefaultParagraphFont"/>
    <w:uiPriority w:val="99"/>
    <w:semiHidden/>
    <w:unhideWhenUsed/>
    <w:rsid w:val="00F9442E"/>
    <w:rPr>
      <w:vertAlign w:val="superscript"/>
    </w:rPr>
  </w:style>
  <w:style w:type="character" w:customStyle="1" w:styleId="relative">
    <w:name w:val="relative"/>
    <w:basedOn w:val="DefaultParagraphFont"/>
    <w:rsid w:val="00B54714"/>
  </w:style>
  <w:style w:type="character" w:styleId="CommentReference">
    <w:name w:val="annotation reference"/>
    <w:basedOn w:val="DefaultParagraphFont"/>
    <w:uiPriority w:val="99"/>
    <w:semiHidden/>
    <w:unhideWhenUsed/>
    <w:rsid w:val="00DD7FC3"/>
    <w:rPr>
      <w:sz w:val="16"/>
      <w:szCs w:val="16"/>
    </w:rPr>
  </w:style>
  <w:style w:type="paragraph" w:styleId="CommentText">
    <w:name w:val="annotation text"/>
    <w:basedOn w:val="Normal"/>
    <w:link w:val="CommentTextChar"/>
    <w:uiPriority w:val="99"/>
    <w:unhideWhenUsed/>
    <w:rsid w:val="00DD7FC3"/>
    <w:rPr>
      <w:rFonts w:cs="Angsana New"/>
      <w:sz w:val="20"/>
      <w:szCs w:val="25"/>
    </w:rPr>
  </w:style>
  <w:style w:type="character" w:customStyle="1" w:styleId="CommentTextChar">
    <w:name w:val="Comment Text Char"/>
    <w:basedOn w:val="DefaultParagraphFont"/>
    <w:link w:val="CommentText"/>
    <w:uiPriority w:val="99"/>
    <w:rsid w:val="00DD7FC3"/>
    <w:rPr>
      <w:rFonts w:ascii="Times New Roman"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DD7FC3"/>
    <w:rPr>
      <w:b/>
      <w:bCs/>
    </w:rPr>
  </w:style>
  <w:style w:type="character" w:customStyle="1" w:styleId="CommentSubjectChar">
    <w:name w:val="Comment Subject Char"/>
    <w:basedOn w:val="CommentTextChar"/>
    <w:link w:val="CommentSubject"/>
    <w:uiPriority w:val="99"/>
    <w:semiHidden/>
    <w:rsid w:val="00DD7FC3"/>
    <w:rPr>
      <w:rFonts w:ascii="Times New Roman" w:eastAsia="Times New Roman" w:hAnsi="Times New Roman" w:cs="Angsana New"/>
      <w:b/>
      <w:bCs/>
      <w:sz w:val="20"/>
      <w:szCs w:val="25"/>
    </w:rPr>
  </w:style>
  <w:style w:type="table" w:styleId="PlainTable3">
    <w:name w:val="Plain Table 3"/>
    <w:basedOn w:val="TableNormal"/>
    <w:uiPriority w:val="43"/>
    <w:rsid w:val="00D420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420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5976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76F0"/>
    <w:pPr>
      <w:spacing w:before="100" w:beforeAutospacing="1" w:after="100" w:afterAutospacing="1"/>
    </w:pPr>
  </w:style>
  <w:style w:type="table" w:styleId="PlainTable1">
    <w:name w:val="Plain Table 1"/>
    <w:basedOn w:val="TableNormal"/>
    <w:uiPriority w:val="41"/>
    <w:rsid w:val="005976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31FA9"/>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C31FA9"/>
    <w:rPr>
      <w:rFonts w:ascii="Times New Roman" w:eastAsia="Times New Roman" w:hAnsi="Times New Roman" w:cs="Angsana New"/>
      <w:sz w:val="24"/>
      <w:szCs w:val="30"/>
    </w:rPr>
  </w:style>
  <w:style w:type="paragraph" w:styleId="Footer">
    <w:name w:val="footer"/>
    <w:basedOn w:val="Normal"/>
    <w:link w:val="FooterChar"/>
    <w:uiPriority w:val="99"/>
    <w:unhideWhenUsed/>
    <w:rsid w:val="00C31FA9"/>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C31FA9"/>
    <w:rPr>
      <w:rFonts w:ascii="Times New Roman" w:eastAsia="Times New Roman" w:hAnsi="Times New Roman" w:cs="Angsana New"/>
      <w:sz w:val="24"/>
      <w:szCs w:val="30"/>
    </w:rPr>
  </w:style>
  <w:style w:type="paragraph" w:styleId="EndnoteText">
    <w:name w:val="endnote text"/>
    <w:basedOn w:val="Normal"/>
    <w:link w:val="EndnoteTextChar"/>
    <w:uiPriority w:val="99"/>
    <w:semiHidden/>
    <w:unhideWhenUsed/>
    <w:rsid w:val="005C277D"/>
    <w:rPr>
      <w:rFonts w:cs="Angsana New"/>
      <w:sz w:val="20"/>
      <w:szCs w:val="25"/>
    </w:rPr>
  </w:style>
  <w:style w:type="character" w:customStyle="1" w:styleId="EndnoteTextChar">
    <w:name w:val="Endnote Text Char"/>
    <w:basedOn w:val="DefaultParagraphFont"/>
    <w:link w:val="EndnoteText"/>
    <w:uiPriority w:val="99"/>
    <w:semiHidden/>
    <w:rsid w:val="005C277D"/>
    <w:rPr>
      <w:rFonts w:ascii="Times New Roman" w:eastAsia="Times New Roman" w:hAnsi="Times New Roman" w:cs="Angsana New"/>
      <w:sz w:val="20"/>
      <w:szCs w:val="25"/>
    </w:rPr>
  </w:style>
  <w:style w:type="character" w:styleId="EndnoteReference">
    <w:name w:val="endnote reference"/>
    <w:basedOn w:val="DefaultParagraphFont"/>
    <w:uiPriority w:val="99"/>
    <w:semiHidden/>
    <w:unhideWhenUsed/>
    <w:rsid w:val="005C27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s.un.org/en/A/HRC/59/45/Add.2" TargetMode="External"/><Relationship Id="rId2" Type="http://schemas.openxmlformats.org/officeDocument/2006/relationships/hyperlink" Target="https://docs.un.org/en/A/HRC/59/45/Add.2" TargetMode="External"/><Relationship Id="rId1" Type="http://schemas.openxmlformats.org/officeDocument/2006/relationships/hyperlink" Target="https://www.who.int/publications/i/item/9789240116962" TargetMode="External"/><Relationship Id="rId6" Type="http://schemas.openxmlformats.org/officeDocument/2006/relationships/hyperlink" Target="https://roasiapacific.iom.int/sites/g/files/tmzbdl671/files/documents/2024-12/thailand-migration-report-2024.pdf" TargetMode="External"/><Relationship Id="rId5" Type="http://schemas.openxmlformats.org/officeDocument/2006/relationships/hyperlink" Target="https://winrock.org/wp-content/uploads/2020/05/Thailand-CTIP-Assessment-of-Complaint-Mechanisms.pdf" TargetMode="External"/><Relationship Id="rId4" Type="http://schemas.openxmlformats.org/officeDocument/2006/relationships/hyperlink" Target="https://www.icj.org/wp-content/uploads/2025/11/Baseline-study_GBV_Thailand.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1EBE-F9A1-483C-A00D-36FE8CA1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Yanisa A</dc:creator>
  <cp:keywords/>
  <dc:description/>
  <cp:lastModifiedBy>Kanok Phuaknuem</cp:lastModifiedBy>
  <cp:revision>2</cp:revision>
  <cp:lastPrinted>2026-01-27T08:07:00Z</cp:lastPrinted>
  <dcterms:created xsi:type="dcterms:W3CDTF">2026-01-28T21:24:00Z</dcterms:created>
  <dcterms:modified xsi:type="dcterms:W3CDTF">2026-01-28T21:24:00Z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d0ed89fc-8944-4292-9f9b-b63a1674adfb</vt:lpwstr>
  </property>
</Properties>
</file>